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компьютерной 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ՀՀԿԳՄՍՆԷԱՃԱՊՁԲ-26/113</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компьютерной 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компьютерной техники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компьютерной 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1930332.61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23,8 дюйма. Разрешение экрана: не менее 1920×1080 (Full HD). Тип матрицы: только IPS. Частота обновления: не менее 75 Гц. Время отклика: максимум 4 мс (GtG). Покрытие экрана: антибликовое. Входные порты: не менее 1× VGA, 1× HDMI. Регулировка наклона экрана: от -5° до +20°.Товар должен быть новым, неиспользованным. Устанавливается гарантийный срок не менее 365 дней, считая со дня, следующего за днем приемки товара Покупателем. Дефекты, выявленные в течение гарантийного срока, подлежат устранению (замене деталей) или замене товара на новый в разумный срок, установленный Покупателем. При исполнении договора Продавец обязан 
предоставить гарантийное письмо или сертификат соответствия на товар от производителя или его представителя. Транспортировка, разгрузка, монтаж и испытания товара осуществляются Поставщиком. Дата поставки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 лазер типа МФУ. Устройство оснащено копиром, сканером, принтером, максимальный формат А4 включительно, черно-белая, технология печати лазерная, максимальное разрешение для ч/б печати 600х600 точек на дюйм, скорость печати - не менее 38 страниц в минуту (формат А4). Количество страниц в месяц — не менее 80 000 (А4), время выхода первой черно-белой печати — не более 6,3 секунды. Имеет возможность автоматической двусторонней печати. Оптическая плотность точек сканера — не менее 600x600 точек на дюйм, скорость сканирования — не менее 29 страниц/изображений в минуту (формат А4). Автоматическая подача бумаги для двусторонней печати — не менее 50 листов. Максимальное разрешение копии — 600x600 точек на дюйм включительно. Скорость копирования - не менее 38 страниц в минуту (формат А4), размер увеличения изображения 25-400% включительно. Предполагаемая плотность бумаги 60-175 г/м2 включительно. Объем памяти: не менее 512 МБ, частота процессора: не менее 1200 МГц. Интерфейсы USB 2.0, Ethernet (RJ-45), Wi-Fi, поддержка: PCL 5, PCL 6, PDF. Умение работать с программами для ОС Windows, iOS, Android. Информационный дисплей: как минимум ЖК. Сборочно-упаковочный цех. Картридж должен быть без чипа для заправки, либо расшифровка чипа должна осуществляться за счет поставщика.Товар должен быть новым, неиспользованным. Устанавливается гарантийный срок не менее 365 дней, считая со дня, следующего за днем приемки товара Покупателем. Дефекты, выявленные в течение гарантийного срока, подлежат устранению (замене деталей) или замене товара на новый в разумный срок, установленный Покупателем. При исполнении договора Продавец обязан 
предоставить гарантийное письмо или сертификат соответствия на товар от производителя или его представителя. Транспортировка, разгрузка, монтаж и испытания товара осуществляются Поставщиком. Дата поставки согласовывается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Саргсяна 3, 2-е здание Правительства, Министерство образования, науки и технологий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Саргсяна 3, 2-е здание Правительства, Министерство образования, науки и технологий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