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ՀՀՏԿԵՆ-Ջ-ԷԱՃԱՊՁԲ-26/28 ծածկագրով էլեկտրոնային աճուրդի ընթացակարգով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ՀՀՏԿԵՆ-Ջ-ԷԱՃԱՊՁԲ-26/28 ծածկագրով էլեկտրոնային աճուրդի ընթացակարգով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ՀՀՏԿԵՆ-Ջ-ԷԱՃԱՊՁԲ-26/28 ծածկագրով էլեկտրոնային աճուրդի ընթացակարգով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ՀՀՏԿԵՆ-Ջ-ԷԱՃԱՊՁԲ-26/28 ծածկագրով էլեկտրոնային աճուրդի ընթացակարգով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 սնուցման բլոկ ոչ պակաս 450 W, CPU – i3 ոչ պակաս 14th Gen - 4Ghz, RAM 16GB/ SSD 512 GB, Windows 11-ի աջակցություն , ստեղնաշար,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ամբողջը մեկում (All in one)-  էկրանի անկյունագիծ ոչ պակաս 24՛՛, CPU – i5 ոչ պակաս 13th RAM 8GB/ SSD 512 GB, Windows 11-ի աջակցություն , ստեղնաշար,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  CPU – i7 U series ոչ պակաս 13th Gen - ոչ պակաս 4Ghz, RAM 32GB/ SSD 256 GB(ավելացելու հնարավորություն) և ավելի, Windows 11-ի աջակցություն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 էկրանի անկյունագիծ ոչ պակաս 27՛՛, ոչ պակաս 1920 x 1080 FHD, (HDMA)HDMA-մալուխով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տպիչ-A4 ֆորմատի, ոչ պակաս 18 էջ/ր, օպտիկական՝ 600 x 600 dpi, , համատեղելի Windows 10, 11 Professional օպերացիոն համակարգերի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ոչ պակաս 600VA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Ինտերֆեյս - HDMI մուտք,USB մուտք
Հաճախականություն - 60 Hz ոչ պակաս
Էկրանի կետայնություն - 3840 x 2160 պիքս․, էկրանի անկյունագիծ ոչ պակաս 43՛՛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