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ԱՄՄՀ-ԷԱՃԱՊՁԲ-26/79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ենթակայությամբ գործող համայնքային ոչ առևտրային կազմակերպությունների (մանկապարտեզների) 2026թ. 2-րդ կիսամյակի կարիքների համար  ««Սննդամթերքի&gt;&gt;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Ասրյան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ԱՄՄՀ-ԷԱՃԱՊՁԲ-26/79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ենթակայությամբ գործող համայնքային ոչ առևտրային կազմակերպությունների (մանկապարտեզների) 2026թ. 2-րդ կիսամյակի կարիքների համար  ««Սննդամթերքի&gt;&gt;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ենթակայությամբ գործող համայնքային ոչ առևտրային կազմակերպությունների (մանկապարտեզների) 2026թ. 2-րդ կիսամյակի կարիքների համար  ««Սննդամթերքի&gt;&gt;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ԱՄՄՀ-ԷԱՃԱՊՁԲ-26/79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ենթակայությամբ գործող համայնքային ոչ առևտրային կազմակերպությունների (մանկապարտեզների) 2026թ. 2-րդ կիսամյակի կարիքների համար  ««Սննդամթերքի&gt;&gt;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պղպեղ/աղացած, քաղցր/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ԱՄՄՀ-ԷԱՃԱՊՁԲ-26/79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ԱՄՄՀ-ԷԱՃԱՊՁԲ-26/79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«ԱՄՄՀ-ԷԱՃԱՊՁԲ-26/79»*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ԱՄՄՀ-ԷԱՃԱՊՁԲ-26/79*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«ԱՄՄՀ-ԷԱՃԱՊՁԲ-26/79»*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ԱՄՄՀ-ԷԱՃԱՊՁԲ-26/79*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պղպեղ/աղացած, քաղցր/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Սննդում օգտագործվող համային հավելում: Չափածրարված, գործարանային արտադրության և փաթեթավորմամբ, առանց կողմնակի խարնուրդների: ՀՀ գործող նորմերին և ստանդարտներին համապատասխան: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30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հատուկ տեխնոլոգիաներով, կորիզով, մսալի և փափուկ: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գործարանային փաթեթավորված, չափածրարված, խոնավությունը` 8 %-ից ոչ ավելի: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ամբողջական, մաքուր, առողջ, չջրազրկված, գյուղատնտեսական վնասատուներից չվնասված: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ապակե կամ մետղական տարաներով, նվազագույնը 500գր տարաներով, որը պետք է պարունակի՝ սպիտակուցներ գ/100գ-3.1, ածխաջրեր 100գ-114, ճարպեր 100գ-1.6, կիլոկալորիա 100գ-21.8: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պղպեղ/աղացած, քաղցր/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