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NUACA-EAAPDzB-26/12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УНИВЕРСИТЕТ АРХИТЕКТУРЫ И СТРОИТЕЛЬСТВА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0009, г. Ереван, ул. Теряна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Шалунц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armineshalunts@gmail.com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010 303 300 /838/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УНИВЕРСИТЕТ АРХИТЕКТУРЫ И СТРОИТЕЛЬСТВА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NUACA-EAAPDzB-26/12</w:t>
      </w:r>
      <w:r>
        <w:rPr>
          <w:rFonts w:ascii="Calibri" w:hAnsi="Calibri" w:cstheme="minorHAnsi"/>
          <w:i/>
        </w:rPr>
        <w:br/>
      </w:r>
      <w:r>
        <w:rPr>
          <w:rFonts w:ascii="Calibri" w:hAnsi="Calibri" w:cstheme="minorHAnsi"/>
          <w:szCs w:val="20"/>
          <w:lang w:val="af-ZA"/>
        </w:rPr>
        <w:t>2026.06.25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УНИВЕРСИТЕТ АРХИТЕКТУРЫ И СТРОИТЕЛЬСТВА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w:t>
      </w:r>
      <w:r>
        <w:rPr>
          <w:rFonts w:ascii="Calibri" w:hAnsi="Calibri" w:cstheme="minorHAnsi"/>
          <w:b/>
          <w:lang w:val="ru-RU"/>
        </w:rPr>
        <w:t xml:space="preserve">ДЛЯ НУЖД  </w:t>
      </w:r>
      <w:r>
        <w:rPr>
          <w:rFonts w:ascii="Calibri" w:hAnsi="Calibri" w:cstheme="minorHAnsi"/>
          <w:b/>
          <w:sz w:val="24"/>
          <w:szCs w:val="24"/>
          <w:lang w:val="af-ZA"/>
        </w:rPr>
        <w:t>ФОНД  НАЦИОНАЛЬНЫЙ УНИВЕРСИТЕТ АРХИТЕКТУРЫ И СТРОИТЕЛЬСТВА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NUACA-EAAPDzB-26/12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armineshalunts@gmail.com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мебель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4.9162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"NUACA-EAAPDzB-26/12"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"NUACA-EAAPDzB-26/12"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NUACA-EAAPDzB-26/12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чертежу (2 шкафа, 1 письменный стол, 1 овальный стол), с выбором не менее 5 цветов в светлых тонах, по согласованию с Заказчиком, допустимое отклонение — 2%. Изготовлено из ламината 18 мм, видимые части деталей из ламината должны быть оклеены ПВХ-кромкой толщиной 0,8-1,0 мм в цвет соответствующего ламината. Полки с металлическими ручками. Края столешниц по периметру должны быть утолщены до 36 мм, овальный стол должен быть прочным и не шататься, может состоять из 2 частей, ножки — из металла с порошковым покрытием или из ламината, так чтобы не мешать сидению. В процессе изготовления консультироваться с Заказчиком. Замеры и установка производятся поставщиком. При заключении договора обязательно предоставить цены на отдельные единицы рабочей мебели, которые будут являться неотъемлемой частью договора. Гарантия — 2 года со дня приемки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