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2026.06.30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ԵԲԳԿ-ԷԱՃԱՊՁԲ-26/61</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''ЕРЕВАН''  МНЦ</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Гр. Нерсисян 7</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Медицинские изделия</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09:00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15</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09:00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15</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Թամարա Հովեսյան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yerevan.gnum@mail.ru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+37493169179</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''ЕРЕВАН''  МНЦ</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ԵԲԳԿ-ԷԱՃԱՊՁԲ-26/61</w:t>
      </w:r>
      <w:r w:rsidRPr="00E4651F">
        <w:rPr>
          <w:rFonts w:asciiTheme="minorHAnsi" w:hAnsiTheme="minorHAnsi" w:cstheme="minorHAnsi"/>
          <w:i/>
        </w:rPr>
        <w:br/>
      </w:r>
      <w:r w:rsidR="00A419E4" w:rsidRPr="00E4651F">
        <w:rPr>
          <w:rFonts w:asciiTheme="minorHAnsi" w:hAnsiTheme="minorHAnsi" w:cstheme="minorHAnsi"/>
          <w:szCs w:val="20"/>
          <w:lang w:val="af-ZA"/>
        </w:rPr>
        <w:t>2026.06.30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''ЕРЕВАН''  МНЦ</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''ЕРЕВАН''  МНЦ</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Медицинские изделия</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Медицинские изделия</w:t>
      </w:r>
      <w:r w:rsidR="00812F10" w:rsidRPr="00E4651F">
        <w:rPr>
          <w:rFonts w:cstheme="minorHAnsi"/>
          <w:b/>
          <w:lang w:val="ru-RU"/>
        </w:rPr>
        <w:t xml:space="preserve">ДЛЯ НУЖД </w:t>
      </w:r>
      <w:r w:rsidR="0039665E" w:rsidRPr="0039665E">
        <w:rPr>
          <w:rFonts w:cstheme="minorHAnsi"/>
          <w:b/>
          <w:u w:val="single"/>
          <w:lang w:val="af-ZA"/>
        </w:rPr>
        <w:t>ЗАО ''ЕРЕВАН''  МНЦ</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ԵԲԳԿ-ԷԱՃԱՊՁԲ-26/61</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yerevan.gnum@mail.ru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Медицинские изделия</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3</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 կորոնար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ուղղորդիչ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բալոն դեղապատ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15</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367.89</w:t>
      </w:r>
      <w:r>
        <w:rPr>
          <w:rFonts w:ascii="Calibri" w:hAnsi="Calibri" w:cstheme="minorHAnsi"/>
          <w:szCs w:val="22"/>
        </w:rPr>
        <w:t xml:space="preserve"> драмом, российский рубль </w:t>
      </w:r>
      <w:r>
        <w:rPr>
          <w:rFonts w:ascii="Calibri" w:hAnsi="Calibri" w:cstheme="minorHAnsi"/>
          <w:lang w:val="af-ZA"/>
        </w:rPr>
        <w:t>4.706</w:t>
      </w:r>
      <w:r>
        <w:rPr>
          <w:rFonts w:ascii="Calibri" w:hAnsi="Calibri" w:cstheme="minorHAnsi"/>
          <w:szCs w:val="22"/>
        </w:rPr>
        <w:t xml:space="preserve"> драмом, евро </w:t>
      </w:r>
      <w:r>
        <w:rPr>
          <w:rFonts w:ascii="Calibri" w:hAnsi="Calibri" w:cstheme="minorHAnsi"/>
          <w:lang w:val="af-ZA"/>
        </w:rPr>
        <w:t>419.47</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2026.07.16.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ԵԲԳԿ-ԷԱՃԱՊՁԲ-26/61</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ЗАО ''ЕРЕВАН''  МНЦ</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ԵԲԳԿ-ԷԱՃԱՊՁԲ-26/61</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ԵԲԳԿ-ԷԱՃԱՊՁԲ-26/61</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"ԵԲԳԿ-ԷԱՃԱՊՁԲ-26/61"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''ЕРЕВАН''  МНЦ*(далее — Заказчик) процедуре закупок под кодом ԵԲԳԿ-ԷԱՃԱՊՁԲ-26/61*.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  МНЦ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"ԵԲԳԿ-ԷԱՃԱՊՁԲ-26/61"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''ЕРЕВАН''  МНЦ*(далее — Заказчик) процедуре закупок под кодом ԵԲԳԿ-ԷԱՃԱՊՁԲ-26/61*.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  МНЦ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ԵԲԳԿ-ԷԱՃԱՊՁԲ-26/61</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__</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_10__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 կորոնար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Коронарный проводник с полимерным наконечником и гладким гидрофильным покрытием обеспечивает легкое прохождение в дистальные отделы сосуда, обладает превосходной передачей крутящего момента и различными вариантами жесткости наконечника. Уникальная конструкция наконечника и сердечника обеспечивает оптимальный баланс прочности и управляемости, что позволяет использовать проводник при хронических окклюзиях. Имеет один рентгеноконтрастный маркер, расположенный относительно близко к дистальному концу, что помогает врачу определить протяженность поражения. Длина проводника — 300 см, диаметр — 0,014", жесткость наконечника (Tip Load) — 1,3 г, 2,5 г и 3,9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ուղղորդիչ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Удлиняющий направляющий катетер
Представляет собой однопросветный катетер, предназначенный для удлинения направляющего катетера и облегчения доставки интервенционных устройств к сосудистому руслу.
Технические характеристики:
•	рабочая длина — 150 см;
•	длина направляющей части — 25 см;
•	проксимальная часть выполнена из нержавеющей стальной трубки типа Hypotube;
•	имеет гидрофильное покрытие;
•	оснащен двумя рентгеноконтрастными маркерами;
•	проксимальная часть содержит две позиционные метки.
Обязанности поставщика:
Поставщик обязан за счет собственных средств выполнять следующие обязательства:
•	в случае выявления каждого дефектного изделия передавать производителю информацию, предоставленную Заказчиком;
•	получать от производителя официальное заключение (объяснение) по каждому выявленному случаю и представлять его Покупателю. При этом Покупатель вправе самостоятельно проверить достоверность представленной информации непосредственно у производителя;
•	в случае выявления производственного дефекта заменить изделие новым;
•	в случае отзыва производителем любой партии товара, поставленной Покупателю, незамедлительно уведомить Покупателя и заменить отозванные изделия новыми;
•	замена товара должна быть осуществлена в течение двух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բալոն դեղապատ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Баллонный катетер с лекарственным покрытием для транслюминальной коронарной ангиопластики
•	Баллонный катетер с лекарственным покрытием предназначен для выполнения транслюминальной коронарной ангиопластики.
•	Технические характеристики:
•	тип — монорельсовый (Monorail);
•	лекарственное покрытие — Сиролимус (Sirolimus);
•	дозировка лекарственного вещества — 1 мкг/мм²;
•	лекарственное покрытие обладает антипролиферативным и противовоспалительным иммуносупрессивным действием и нанесено на дистальную часть катетера;
•	оснащен двумя рентгеноконтрастными маркерами;
•	совместим с проводником диаметром 0,014";
•	совместим с направляющими катетерами 5F и 6F;
•	рабочая длина шафта — 140 см;
•	диаметр шафта — 1,9 Fr (0,63 мм);
•	профиль кончика — 0,016";
•	номинальное давление — 6 атм.;
•	максимальное давление — 12 атм.;
•	диаметры баллона: 1,50; 2,00; 2,25; 2,50; 2,75; 3,00; 3,25; 3,50; 3,75; 4,00; 4,50; 5,00 мм;
•	для каждого диаметра должно быть предусмотрено не менее 7 вариантов длины, при этом минимальная длина — не более 10 мм, максимальная длина — не менее 40 мм.
•	Требования к поставке:
•	На этапе поставки товара Поставщик обязан предоставить:
•	сертификат соответствия, выданный производителем;
•	авторизационное (гарантийное/доверительное) письмо производителя;
•	сертификат происхождения товара.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начиная с 20-го календарного дня со дня вступления договора (при наличии предусмотренных финансовых средств — соглашения) в силу в порядке, установленном законодательством, в течение 3 (трех) рабочих дней после каждого получения заказа от Заказчика. При этом срок поставки любого товара, предусмотренного настоящим договором,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начиная с 20-го календарного дня со дня вступления договора (при наличии предусмотренных финансовых средств — соглашения) в силу в порядке, установленном законодательством, в течение 3 (трех) рабочих дней после каждого получения заказа от Заказчика. При этом срок поставки любого товара, предусмотренного настоящим договором,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начиная с 20-го календарного дня со дня вступления договора (при наличии предусмотренных финансовых средств — соглашения) в силу в порядке, установленном законодательством, в течение 3 (трех) рабочих дней после каждого получения заказа от Заказчика. При этом срок поставки любого товара, предусмотренного настоящим договором, не может превышать 30 декабря 2026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