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վառելիքի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Մատակարարումը համայնքի կողմից մշակված կտրոնային սիստեմով։ Կտրոնները պետք է գործածական լինեն 2026-2027թթ.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տվյալ տարվա հոկտեմբերի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