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ՎԱ-ԱԱՏՄ-ԷԱՃԱՊՁԲ-26/21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աշխատակազմի կողմից կազմակերպված՝ Առողջապահական եվ աշխատանքի տեսչական մարմին կարիքների համար, ՎԱ-ԱԱՏՄ-ԷԱՃԱՊՁԲ-26/21 ծածկագրով ռեգուլյար տեսակի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mariam.sahakyan@gov.am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ՎԱ-ԱԱՏՄ-ԷԱՃԱՊՁԲ-26/21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Վարչապետի աշխատակազմի կողմից կազմակերպված՝ Առողջապահական եվ աշխատանքի տեսչական մարմին կարիքների համար, ՎԱ-ԱԱՏՄ-ԷԱՃԱՊՁԲ-26/21 ծածկագրով ռեգուլյար տեսակի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Վարչապետի աշխատակազմի կողմից կազմակերպված՝ Առողջապահական եվ աշխատանքի տեսչական մարմին կարիքների համար, ՎԱ-ԱԱՏՄ-ԷԱՃԱՊՁԲ-26/21 ծածկագրով ռեգուլյար տեսակի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ՎԱ-ԱԱՏՄ-ԷԱՃԱՊՁԲ-26/21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mariam.sahakyan@gov.am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Վարչապետի աշխատակազմի կողմից կազմակերպված՝ Առողջապահական եվ աշխատանքի տեսչական մարմին կարիքների համար, ՎԱ-ԱԱՏՄ-ԷԱՃԱՊՁԲ-26/21 ծածկագրով ռեգուլյար տեսակի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ՎԱ-ԱԱՏՄ-ԷԱՃԱՊՁԲ-26/21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ՎԱ-ԱԱՏՄ-ԷԱՃԱՊՁԲ-26/21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«ՎԱ-ԱԱՏՄ-ԷԱՃԱՊՁԲ-26/21»*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«ՎԱ-ԱԱՏՄ-ԷԱՃԱՊՁԲ-26/21»*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ՎԱ-ԱԱՏՄ-ԷԱՃԱՊՁԲ-26/21*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Պայմանագիրն ուժի մեջ մտնելուց հետո պայմանագրով սահմանված Պատվիրատուի իրավունքները և պարտավորությունները փոխանցվում են Առողջապահական և աշխատանքի տեսչական մարմնին՝ բացառությամբ ֆինանսական գործառույթների՝ հիմք ընդունելով «Տեսչական մարմինների մասին» Հայաստանի Հանրապետության օրենքի 5-րդ և 18-րդ հոդվածների պահանջները: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 45-ից մինչև 100 կՊա, կապարի պարունակությունը 5մգ/դմ3 -ից ոչ ավելի, բենզոլի ծավալային մասը 1% -ից ոչ ավելի, խտությունը 15  °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   10% , եռաբութիլ սպիրտ-7%, եթերներ ( C5 և ավելի) 15%, այլ օքսիդիչներ-10%, անվտանգությունը՝  Ըստ Մաքսային միության ՄՄ ՏԿ 013/2011 տեխնիկական կանոնակարգի։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