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վերանորոգվող/հիմնանորոգվող 27 դպրոցների համար 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armine.sahakyan@escs.am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վերանորոգվող/հիմնանորոգվող 27 դպրոցների համար 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վերանորոգվող/հիմնանորոգվող 27 դպրոցների համար 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armine.sahakyan@escs.am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վերանորոգվող/հիմնանորոգվող 27 դպրոցների համար 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6243750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4.7211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2026.07.15.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ՀՀԿԳՄՍՆԷԱՃԱՊՁԲ-26/121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ՀՀԿԳՄՍՆԷԱՃԱՊՁԲ-26/121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Մուտքային լարումը փոփոխական 145~295 Վոլտ, միաֆազ, ավտոմատ լարման կարգավորում (AVR), հաճախականությունը 50-60Hz ± 5%, Ելքային լարումը փոփոխական 220V ± 10%, Հզորութունը առնվազն 800 ՎԱ (480 Վատտ), անցման ժամանակը ≤ 8 միլիվայրկյան, 2 հատ Schuko կամ 2 ունիվերսալ ելքային վարդակ, Վերալիցքավորման 90% հզորությունը՝ առավելագույնը 8 ժամվա ընթացքում, աշխատանքային թույլատրելի ջերմաստիճանը 0~40C, Հոսանքի լար, միցման լարը ներառված, ՀՀ ստանդարտներին համապատասխան: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Մատակարարման օրը համաձայնեցնել Գնորդի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Պետք է ներկայացնի նաև ՀՀ-ում հավատարմագրված առնվազն մեկ սերվիս կենտրոնի տվյալները: Մինչև մատակարարումը ներկայացված ապրանքի նմուշը համաձայնեցնել Գնորդի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լազերային սարք՝ MFP տիպի լազեր: Սարքը ունի պատճենահանող սարք, սկաներ, տպիչ, առավելագույն չափը A4 ներառյալ, սև և սպիտակ, լազերային տպագրության տեխնոլոգիա, առավելագույն թույլտվություն b/w տպագրության համար 600x600 dpi, տպման արագությունը` առնվազն 38 էջ մեկ րոպեում (A4): Էջերի քանակը ամսական` նախատեսված առնվազն 80000 (A4), առաջին սև-սպիտակ տպագրության ժամանակը՝ առավելագույնը 6,3 վրկ: Ունի ավտոմատ դուպլեքս տպագրության հնարավորություն: Սկաների օպտիկական կետայնության խտությունը` առնվազ 600x600 dpi, սկանավորման արագությունը` առնվազն 29 էջ/պատկեր մեկ րոպեում (A4): Ավտոմատ դուպլեքս թղթի մատակարարումը` առնվազն 50 թերթ: Պատճենահանման առավելագույն թույլտվությունը՝ 600x600 dpi ներառյալ: Պատճենման արագությունը` առնվազն 38 էջ մեկ րոպեում (A4), պատկերի մեծացման չափսը 25-400% ներառյալ: Նախատեսված թղթի քաշը 60-175 գ/մ2 ներառյալ: Հիշողության չափը` առնվազն 512 ՄԲ, պրոցեսորի հաճախականությունը` առնվազն 1200 ՄՀց: Ինտերֆեյսներ USB 2.0, Ethernet (RJ-45), Wi-Fi, աջակցություն` PCL 5, PCL 6, PDF: Windows, iOS, Android OS-ի համար ծրագրերի հետ աշխատելու հնարավորություն: Տեղեկատվական էկրան` առնվազն LCD: Կոմպլեկտավորումը և փաթեթավորումը գործարանային: Առանց քարթրիջի լիցքավորման կոդի կամ կոդի բացումը վաճառողի կողմից: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Մատակարարման օրը համաձայնեցնել Գնորդի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Պետք է ներկայացնի նաև ՀՀ-ում հավատարմագրված առնվազն մեկ սերվիս կենտրոնի տվյալները: Մինչև մատակարարումը ներկայացված ապրանքի նմուշը համաձայնեցնել Գնորդի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DLP, 3D-ի հնարավորություն` այո, Ֆորմատ՝ 16:9, 16:10, 4:3 հնարավորություններ, Կետայնություն՝ առնվազն WXGA (1280 x 800), Առավելագույն կետայնություն՝ առնվազն 1920x1080 պիքս․ ներառյալ, Գույների քանակ՝ մինչև 1.06 մլրդ ներառյալ, Լուսավորություն՝ առնվազն 4000 Lm, Կոնտրաստ՝ առնվազն 20000:1, Աղմուկի մակարդակ՝ առավելագույնը 32 dB, Պատկերի կարգավորումներ՝ Խոշորացում առնվազն 1.1x, Սեղանաձև պրոյեկցիայի ուղղահայաց կարգավորում ±40° ներառյալ, Նախատեսված առավելագույն հեռավորությունը էկրանից՝ 8 մ ներառյալ, Նվազագույն հեռավորությունը էկրանից՝ 1 մ ներառյալ, Նախատեսված էկրանի առավելագույն անկյունագիծ՝ առնվազն 700 սմ, Լամպի պիտանելիություն՝ առնվազն 6000 ժ ստանդարտ ռեժիմոմ, Ինտերֆեյս՝ HDMI մուտք, RS 232 մուտք, 3.5 մմ աուդիո ելք/մուտք, USB, VGA, էլեկտրասնուցում էներգիայի սպառում՝ առավելագույնը 320 Վտ: Առաստաղին ամրացնելու հնարավորություն՝ այո։ Ներառված պարագաներ - Պրոյեկտորի կախիչ առաստաղային՝ մեկ հատ տրամադրվում է սարքի հետ, հեռակառավարման վահանակ իր մարտկոցներով, Integrated speaker՝ առնվազն 5 վտ, HDMI cable առնվազն 5մ, միացման լարը՝ ՀՀ ստանդարտներին համապատասխան, հոսանքի աղբյուր 220V-240V/ 50-60Hz (Power cord with schuko plug)։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Մատակարարման օրը համաձայնեցնել Գնորդի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Պետք է ներկայացնի նաև ՀՀ-ում հավատարմագրված առնվազն մեկ սերվիս կենտրոնի տվյալները: Մինչև մատակարարումը ներկայացված ապրանքի նմուշը համաձայնեցնել Գնորդի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Փոշեկուլի առավելագույն հզորությունը 2300 Վտ, քաշող ուժի հզորությունը` նվազագույնը 430 Վտ, խողովակի տեսակը` տելեսկոպիկ, փոշու տարայի տեսակը և ծավալը` տուփ (контейнер) նվազագույնը 2 լ, աղմուկի մակարդակը՝ առավելագույնը 80 դբ, հոսանքի լարի երկարությունը՝ նվազագույնը 7 մ, Ապրանքի առավելագույն քաշը՝ 6.5 կգ: Հատակի և գորգի գլխիկ, փափուկ կահույքի գլխիկ, անկյունների (խորշային) գլխիկ: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Մինչև մատակարարումը ներկայացված ապրանքի նմուշը համաձայնեցնել Գնորդի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