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լոգոյով բրենդավորված իրերի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լոգոյով բրենդավորված իրերի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լոգոյով բրենդավորված իրերի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լոգոյով բրենդավորված իրերի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բաժակներ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 Վակուումային, երկշերտ
Նյութ (կորպուս)՝ Չժանգոտվող պողպատ (Stainless Steel 304)
Ներքին շերտ՝ Սննդային կարգի պողպատ
Ծավալ՝ առնվազն 300 մլ 
Ջերմապահպանման տևողություն՝
•	Տաք՝ առնվազ 6 ժամ
•	Սառը՝ առնվազն 12 ժամ
Կափարիչ՝ Հերմետիկ, սիլիկոնե միջադիրով
Միագույն համապատախան հիմնադրամի բրենդի գույներին, լոգոյի տպագրությամբ։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