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 за третий квартал</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ՄՏԲԿ-ԷԱՃԱՊՁԲ-26/17</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 за третий квартал</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 за третий квартал</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 за третий квартал</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сентября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Нечетное число определяется методом исследования, не менее 91. Не менее 81 автомобиля. Содержание свинца не превышает 5 мг / дм3. Плотность при температуре 15 0 С составляет 720-775 кг / м 3. Содержание серы не более 10 мг / кг. Объемная доля углеводов не более ароматических - 21%, олефинов - 21%, углекислого газа - не более 1%. Массовая доля кислорода - не более 2,7%. Содержание щавелевой кислоты в оксидах - 3%, этаноле - 5%, изопропиловом спирте - 10%, изобутиловом спирте - 10%, триабутиловом спирте - 7%, эфире (C5 и выше) - 15%, других оксидах - , Безопасность, маркировка и упаковка утвержденный Решением N 1592-N от Правительства РА  11 ноября  2004 года. «Технический регламент на топливо для двигателей внутреннего сгорания», Поставка, купон. Купоны должны быть новыми, неиспользованными. В талоны на бензин поставщика должны быть включены заправочные станции, обслуживающие города Мегри, Капан, Горис, Сисиан и Ереван Республики.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