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ԷԱՃԱՊՁԲ-2026/57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առողջապահության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2026 ԹՎԱԿԱՆԻ ԿԱՐԻՔՆԵՐԻ ՀԱՄԱՐ ԹՄՐԱԲԵՐ ՑԱՎԱԶՐԿՈՂ ԴԵՂԻ ՁԵՌՔԲԵՐՄԱՆ ՆՊԱՏԱԿՈՎ ԿԱԶՄԱԿԵՐՊՎԱԾ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 80 80 03 /1702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hsargsyan@moh.am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առողջապահության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ԷԱՃԱՊՁԲ-2026/57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առողջապահության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առողջապահության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2026 ԹՎԱԿԱՆԻ ԿԱՐԻՔՆԵՐԻ ՀԱՄԱՐ ԹՄՐԱԲԵՐ ՑԱՎԱԶՐԿՈՂ ԴԵՂԻ ՁԵՌՔԲԵՐՄԱՆ ՆՊԱՏԱԿՈՎ ԿԱԶՄԱԿԵՐՊՎԱԾ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առողջապահության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2026 ԹՎԱԿԱՆԻ ԿԱՐԻՔՆԵՐԻ ՀԱՄԱՐ ԹՄՐԱԲԵՐ ՑԱՎԱԶՐԿՈՂ ԴԵՂԻ ՁԵՌՔԲԵՐՄԱՆ ՆՊԱՏԱԿՈՎ ԿԱԶՄԱԿԵՐՊՎԱԾ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ԷԱՃԱՊՁԲ-2026/57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hsargsyan@moh.am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2026 ԹՎԱԿԱՆԻ ԿԱՐԻՔՆԵՐԻ ՀԱՄԱՐ ԹՄՐԱԲԵՐ ՑԱՎԱԶՐԿՈՂ ԴԵՂԻ ՁԵՌՔԲԵՐՄԱՆ ՆՊԱՏԱԿՈՎ ԿԱԶՄԱԿԵՐՊՎԱԾ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կոդեին, մորֆին (մորֆինի հիդրոքլորիդ),նոսկապին, թեբային -N02AA51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2026.07.20.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առողջապահության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ԷԱՃԱՊՁԲ-2026/57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ԷԱՃԱՊՁԲ-2026/57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ԷԱՃԱՊՁԲ-2026/57»*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ԷԱՃԱՊՁԲ-2026/57*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ԷԱՃԱՊՁԲ-2026/57»*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ԷԱՃԱՊՁԲ-2026/57*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կոդեին, մորֆին (մորֆինի հիդրոքլորիդ),նոսկապին, թեբային -N02AA51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(մորֆինի հիդրոքլորիդ), նոսկապին, պապավերին (պապավերինի հիդրոքլորիդ), կոդեին, թեբային  լուծույթ ներարկման 11.5մգ/մլ+5.4մգ/մլ+0.72մգ/մլ+1.44մգ/մլ+0,1մգ/մլ:
Մատակարարումն իրականացվում է մատակարարի կողմից` ք. Երևան, Տիտոգրադյան 14/10 հասցեով:
Հայաստանի Հանրապետության ռեզիդենտ չհանդիսացող կազմակերպությունները պարտավոր են մատակարարումն իրականացնել ք.Երևան, Տիտոգրադյան 14/10 հասցեով դիդիփի ինկոտերմսի (DDP Incoterms) պահանջներին համապատասխան:
Սույն գնման ընթացակարգի և պայմանագրերի կատարման ընթացքում կիրառվում են ՀՀ Կառավարության 2013 թվականի մայիսի 02-ի թիվ 502-Ն որոշման պահանջները: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օրացուցային օրերի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