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ՀՀՏԿԵՆ-Ջ-ԷԱՃԱՊՁԲ-26/31 ծածկագրով էլեկտրոնային աճուրդի ընթացակարգով յուղերի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ՀՀՏԿԵՆ-Ջ-ԷԱՃԱՊՁԲ-26/31 ծածկագրով էլեկտրոնային աճուրդի ընթացակարգով յուղերի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ՀՀՏԿԵՆ-Ջ-ԷԱՃԱՊՁԲ-26/31 ծածկագրով էլեկտրոնային աճուրդի ընթացակարգով յուղերի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ՀՀՏԿԵՆ-Ջ-ԷԱՃԱՊՁԲ-26/31 ծածկագրով էլեկտրոնային աճուրդի ընթացակարգով յուղերի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10W40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15W40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2026.07.17.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10W40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կիսասինթետիկ՝ նախատեսված բենզինային շարժիչների համար:
Միջազգային ստանդարտներ՝ API SG/CD:
Մածուցիկության դասը՝ 10W-40:
Արտադրության տարեթիվը՝ 2025-2026 թ.:
Փաթեթավորումը՝ 5 լիտր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հանքային՝ նախատեսված բենզինային շարժիչների համար:
Միջազգային ստանդարտներ՝ API SF/CD:
Մածուցիկության աստիճանը՝ 15W-40:
Արտադրության տարեթիվը՝ 2025-2026 թ.
Փաթեթավորումը՝ 5 լիտր տարաներով: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10W40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