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ՀԾԿՀ-26/6-ԷԱՃԾՁԲ</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հանրային ծառայությունները կարգավորող հանձնաժողով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Мясникяна 5/1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 о закупках на получение сертификат безопасности сайта с кодом ՀԾԿՀ-26/6-ԷԱՃԾՁԲ для нужд Комиссии по регулированию общественных услуг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Սիլվա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sharutyunyan@psrc.am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015580808-120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հանրային ծառայությունները կարգավորող հանձնաժողով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ՀԾԿՀ-26/6-ԷԱՃԾՁԲ</w:t>
      </w:r>
      <w:r w:rsidRPr="005704A1">
        <w:rPr>
          <w:rFonts w:ascii="Calibri" w:hAnsi="Calibri" w:cs="Times Armenian"/>
          <w:lang w:val="ru-RU"/>
        </w:rPr>
        <w:br/>
      </w:r>
      <w:r w:rsidRPr="005704A1">
        <w:rPr>
          <w:rFonts w:ascii="Calibri" w:hAnsi="Calibri" w:cstheme="minorHAnsi"/>
          <w:lang w:val="af-ZA"/>
        </w:rPr>
        <w:t>2026.07.07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հանրային ծառայությունները կարգավորող հանձնաժողով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հանրային ծառայությունները կարգավորող հանձնաժողով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 о закупках на получение сертификат безопасности сайта с кодом ՀԾԿՀ-26/6-ԷԱՃԾՁԲ для нужд Комиссии по регулированию общественных услуг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 о закупках на получение сертификат безопасности сайта с кодом ՀԾԿՀ-26/6-ԷԱՃԾՁԲ для нужд Комиссии по регулированию общественных услуг Республики Армения</w:t>
      </w:r>
      <w:r w:rsidR="005704A1" w:rsidRPr="005704A1">
        <w:rPr>
          <w:rFonts w:ascii="Calibri" w:hAnsi="Calibri"/>
          <w:b/>
          <w:lang w:val="ru-RU"/>
        </w:rPr>
        <w:t>ДЛЯНУЖД</w:t>
      </w:r>
      <w:r w:rsidR="00D80C43" w:rsidRPr="00D80C43">
        <w:rPr>
          <w:rFonts w:ascii="Calibri" w:hAnsi="Calibri"/>
          <w:b/>
          <w:lang w:val="hy-AM"/>
        </w:rPr>
        <w:t>ՀՀ հանրային ծառայությունները կարգավորող հանձնաժողով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ՀԾԿՀ-26/6-ԷԱՃԾՁԲ</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sharutyunyan@psrc.am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 о закупках на получение сертификат безопасности сайта с кодом ՀԾԿՀ-26/6-ԷԱՃԾՁԲ для нужд Комиссии по регулированию общественных услуг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367.47</w:t>
      </w:r>
      <w:r w:rsidRPr="005704A1">
        <w:rPr>
          <w:rFonts w:ascii="Calibri" w:hAnsi="Calibri"/>
          <w:szCs w:val="22"/>
        </w:rPr>
        <w:t xml:space="preserve"> драмом, российский рубль </w:t>
      </w:r>
      <w:r w:rsidRPr="005704A1">
        <w:rPr>
          <w:rFonts w:ascii="Calibri" w:hAnsi="Calibri"/>
          <w:lang w:val="hy-AM"/>
        </w:rPr>
        <w:t>4.7311</w:t>
      </w:r>
      <w:r w:rsidRPr="005704A1">
        <w:rPr>
          <w:rFonts w:ascii="Calibri" w:hAnsi="Calibri"/>
          <w:szCs w:val="22"/>
        </w:rPr>
        <w:t xml:space="preserve">драмом, евро </w:t>
      </w:r>
      <w:r w:rsidRPr="005704A1">
        <w:rPr>
          <w:rFonts w:ascii="Calibri" w:hAnsi="Calibri"/>
          <w:lang w:val="hy-AM"/>
        </w:rPr>
        <w:t>419.65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2026.07.20.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ՀԾԿՀ-26/6-ԷԱՃԾՁԲ</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ՀԾԿՀ-26/6-ԷԱՃԾՁԲ</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ՀԾԿՀ-26/6-ԷԱՃԾՁԲ</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"ՀԾԿՀ-26/6-ԷԱՃԾՁԲ"</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հանրային ծառայությունները կարգավորող հանձնաժողով*(далее — Заказчик) процедуре закупок под кодом ՀԾԿՀ-26/6-ԷԱՃԾՁԲ*.</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"ՀԾԿՀ-26/6-ԷԱՃԾՁԲ"</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ՀԾԿՀ-26/6-ԷԱՃԾՁԲ*.</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ՀԾԿՀ-26/6-ԷԱՃԾՁԲ</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Обеспечение безопасности домена и его неограниченного количества поддоменов (первоклассный уровень), 2048-битные цифровые подписи с алгоритмом хеширования SHA2 и 256-битным шифрованием, 99% распознавание браузерами, защита статического сайта, сертификат для сайтов с www и без www, совместимость со всеми популярными браузерами, защита версий domain.com и www.domain.com, проверка уровня управления доменом, сертификат безопасности веб-сайта Comodo Positive SSL Wildcard со сроком действия 2 года.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регистрации сделки уполномоченным органом, указанным в подпункте 18 пункта 33 порядка, утвержденного Постановлением Правительства РА № 526-Н от 4 мая 2017 года, до 25 декабря 2026 года по запросу клиента.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