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ЗАО “ЕРЕВАНСКАЯ ТЭЦ”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d.grigoryan@ytpc.am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27 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ԵՋԷԿ-ԷԱՃԱՊՁԲ-26/45</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ЗАО “ЕРЕВАНСКАЯ ТЭЦ”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ЗАО “ЕРЕВАНСКАЯ ТЭЦ”</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d.grigoryan@ytpc.am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ЗАО “ЕРЕВАНСКАЯ ТЭЦ”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методом исследования, не менее 95, методом двигателя не менее 85, давление насыщенных паров бензина от 45-100 кПа,  содержание свинца не более 5 мг/дм3, обьемная часть бензола не более 1%, плотность при температуре 150 от 720-775 кг/м3, содержание серы не более 10 мг/кг, масса кислорода не более 2,7%. Обьемная часть оксидантов не более: метанол-3 %, этанол 5%, изопропиленовый спирт 10%, изобутиловый спирт 10%, эрабутиловый спирт 7%, эфиры (С5 и более) -15%, другие оксиданты 10%. Безопасность, упаковка и маркировка согласно решению Правительства РА от 11.11.2004г. ,, Технический Регламент топлива для двигателей внутреннего сгорания. Поставка по купонам.
Наличие заправочных станций обязательно во всех крупних городах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