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ՀՀ-ՊԵԿ-ԷԱՃԱՊՁԲ-26/51-Ա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печатей и штампов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ՀՀ-ՊԵԿ-ԷԱՃԱՊՁԲ-26/51-Ա</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печатей и штампов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печатей и штампов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ՀՀ-ՊԵԿ-ԷԱՃԱՊՁԲ-26/51-Ա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печатей и штампов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"ՀՀ-ՊԵԿ-ԷԱՃԱՊՁԲ-26/51-Ա"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ՀՀ-ՊԵԿ-ԷԱՃԱՊՁԲ-26/51-Ա*.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"ՀՀ-ՊԵԿ-ԷԱՃԱՊՁԲ-26/51-Ա"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ՀՀ-ՊԵԿ-ԷԱՃԱՊՁԲ-26/51-Ա*.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ՀՀ-ՊԵԿ-ԷԱՃԱՊՁԲ-26/51-Ա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круглые, с пластиковой форме, фотополимерные, водостойкие. Толщина рабочей части штампа не менее 2,84 мм. Глубина букв штампа не менее 1,17 мм. Печать производится методом химической реакции. Должно быть четкое отражение изображений, гербов и других мелких частиц, обеспечивающее читаемость текста. Заказы на изготовление штампов предоставляются Заказчиком․
Другие условия:
* Перевозка и отгрузка, сборка товара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с деревянной ручкой, фотополимерные, водостойкие. Толщина рабочей части штампа не менее 2,84 мм. Глубина букв штампа не менее 1,17 мм. Печать производится методом химической реакции. Должно быть четкое отражение изображений, гербов и других мелких частиц, обеспечивающее читаемость текста. Заказы на изготовление штампов предоставляются Заказчиком.
Другие условия:
* Перевозка и отгрузка, сборка товара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180 календарных дней но не позднее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180 календарных дней но не позднее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