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ԵԱՍՄ-ԷԱՃԱՊՁԲ-26/35 ծածկագրով դիզելային վառելիքի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ԵԱՍՄ-ԷԱՃԱՊՁԲ-26/35 ծածկագրով դիզելային վառելիքի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ԵԱՍՄ-ԷԱՃԱՊՁԲ-26/35 ծածկագրով դիզելային վառելիքի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ԵԱՍՄ-ԷԱՃԱՊՁԲ-26/35 ծածկագրով դիզելային վառելիքի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ԵԱՍՄ-ԷԱՃԱՊՁԲ-26/35</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ԵԱՍՄ-ԷԱՃԱՊՁԲ-26/35</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«ԵԱՍՄ-ԷԱՃԱՊՁԲ-26/35»*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աղբահանություն և սանիտարական մաքրում» համայնքային հիմնարկ</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ԵԱՍՄ-ԷԱՃԱՊՁԲ-26/35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 վարչություն 900012000700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«ԵԱՍՄ-ԷԱՃԱՊՁԲ-26/35»*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ԵԱՍՄ-ԷԱՃԱՊՁԲ-26/35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որոշմամբհաստատված «Ներքին այրման շարժիչային վառելիքների տեխնիկական կանոնակարգի» 
Մատակարարումը պետք է իրականացվի վաճառողի կողմից բաքային եղանակով, ըստ
Գնորդի կողմից նախապես Վաճառողին 
ներկայացված հաստատված պատվեր-առաջադրանքի հիման վրա, որում հստակ կնշվի ապրանքի մատակարարման օրերը, հասցեները, քանակները, ապրանքի մատակարարումը մինչև առավոտյան ժամը 11:00-ն: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25 դեկտեմբերի: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