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կարիքների համար մալուխների միացման հավաքածուի ձեռբերման նպատակով հայտարարված ՀՀԱՆՇՕԾ-ԷԱՃԱՊՁԲ-2026/42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armine.avetisyan@ambulance.am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կարիքների համար մալուխների միացման հավաքածուի ձեռբերման նպատակով հայտարարված ՀՀԱՆՇՕԾ-ԷԱՃԱՊՁԲ-2026/42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կարիքների համար մալուխների միացման հավաքածուի ձեռբերման նպատակով հայտարարված ՀՀԱՆՇՕԾ-ԷԱՃԱՊՁԲ-2026/42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armine.avetisyan@ambulance.am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կարիքների համար մալուխների միացման հավաքածուի ձեռբերման նպատակով հայտարարված ՀՀԱՆՇՕԾ-ԷԱՃԱՊՁԲ-2026/42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Ոլորված զույգ CAT6 կարգի մալուխ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ՀՀԱՆՇՕԾ-ԷԱՃԱՊՁԲ-2026/42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ՀՀԱՆՇՕԾ-ԷԱՃԱՊՁԲ-2026/42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ՀԱՆՐԱՊԵՏԱԿԱՆ ՇՏԱՊ ՕԳՆՈՒԹՅԱՆ ԾԱՌԱՅՈՒԹՅՈՒՆ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Ոլորված զույգ CAT6 կարգի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CAT6 կարգի մալուխ՝ ներքին տեղադրման։ Կառուցվածք՝ 4x2 ոլորված զույգ U/UTP LSZH պատյանով պղնձե մալուխ, նախատեսված կառուցվածքային մալուխային համակարգերի, լոկալ հաշվողական ցանցերի (LAN), շենքային կապի ընդհանուր ենթակառուցվածքների, ինչպես նաև մագիստրալ և հորիզոնական ենթահամակարգերի կազմակերպման համար։ Համապատասխանում է ANSI/TIA-568.2-D ստանդարտին։ Հաղորդիչի նյութ՝ 100% մաքուր պղինձ (bare copper)։ Հաղորդիչի դասը՝ Class 1 (solid / միալար)։ AWG չափ՝ 23 AWG՝ հաղորդիչի տրամագիծ՝ 0.56 – 0.58 մմ (nominal ~0.573 մմ), հաղորդիչի հատույթ՝ ~0.26 մմ²։ Ջլերի մեկուսացում՝ ամուր պոլիէթիլեն (PE), գունային կոդավորում՝ ըստ TIA/EIA-568 ստանդարտի։ Արտաքին պատյան՝ LSZH, fire performance՝ CPR Class Eca։ NVP (Nominal Velocity of Propagation)՝ ≥ 69%։ Ալիքային դիմադրություն՝ 100 ± 10 Ω։ DC դիմադրություն (100 մ, 20°C)՝ ≤ 9.5 Ω։ Մեկուսացման դիմադրություն՝ ≥ 5000 MΩ։ Դիէլեկտրիկ ամրություն՝ ≥ 1000 V։ Փոխադարձ ունակություն (100 մ)՝ ≤ 5.6 nF։ Ունակության համաձայնեցում՝ ≤ 160 pF / 100 մ։ Հաճախականություն՝ մինչև 250 MHz։ Տվյալների փոխանցման արագություն՝ մինչև 1 Gbps (100 մ), մինչև 10 Gbps կարճ հեռավորության վրա (~55 մ)։ Համատեղելի է IEEE 802.3af, IEEE 802.3at և IEEE 802.3bt PoE ստանդարտների հետ։ Մոնտաժման ջերմաստիճան՝ -10°C … +50°C, շահագործման ջերմաստիճան՝ -20°C … +60°C։ Համապատասխանում է ANSI/TIA-568.2-D և ISO/IEC 11801 Class E ստանդարտներին։ Կծիկի երկարություն՝ 305 մ։
Ապրանքների մատակարարումը, բեռնաթափումը  և տեղափոխումը պատվիրատուի պահեստ իրականացվում  է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Առինջ,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