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ՊԵԿ-ԷԱՃԱՊՁԲ-2026/11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государственных доходов Республики Армения</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М. Хоренаци 3,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ИНФРАСТРУКТУРА СЕРВЕРНЫХ СИСТЕМ</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Սպարտակ Հարությունյան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spartak_harutyunyan@taxservice.am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+37460844703, +37460844702, +37460844704, +37460844708,, +37460844709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государственных доходов Республики Армения</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ՊԵԿ-ԷԱՃԱՊՁԲ-2026/11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ИНФРАСТРУКТУРА СЕРВЕРНЫХ СИСТЕМ</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ИНФРАСТРУКТУРА СЕРВЕРНЫХ СИСТЕМ</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государственных доходов Республики Армения</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ՊԵԿ-ԷԱՃԱՊՁԲ-2026/11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spartak_harutyunyan@taxservice.am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ИНФРАСТРУКТУРА СЕРВЕРНЫХ СИСТЕМ</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461950734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инфраструктуры серверных систем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11:30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4.6995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419.29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2026.08.03. 11:30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ՊԵԿ-ԷԱՃԱՊՁԲ-2026/11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ՊԵԿ-ԷԱՃԱՊՁԲ-2026/11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ՊԵԿ-ԷԱՃԱՊՁԲ-2026/11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ՊԵԿ-ԷԱՃԱՊՁԲ-2026/11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государственных доходов Республики Армения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ՊԵԿ-ԷԱՃԱՊՁԲ-2026/11"*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ՊԵԿ-ԷԱՃԱՊՁԲ-2026/11"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ՊԵԿ-ԷԱՃԱՊՁԲ-2026/11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ՊԵԿ-ԷԱՃԱՊՁԲ-2026/11"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ՊԵԿ-ԷԱՃԱՊՁԲ-2026/11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ՊԵԿ-ԷԱՃԱՊՁԲ-2026/11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инфраструктуры серверных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ОПИСАНИЕДанная процедура закупки осуществляется 1 (одним) общим комплектом. Все разделы технических спецификаций, виды товаров, сопутствующие материалы, оборудование и их количество, представленные ниже, рассчитаны на один адрес. Поставщик обязан в рамках данного комплекта рассчитать и поставить количества всех товаров, оборудования и работ, требуемых по технической спецификации, в двойном размере (умноженное на 2).
•	1. ДИЗЕЛЬНЫЙ ГЕНЕРАТОР (количество: 2 штуки)
•	1.1. Общие требования
Поставляемый дизель-генератор должен быть предназначен для резервного электроснабжения центра обработки данных (ЦОД) и обеспечивать бесперебойное питание критических нагрузок.
•	1.2. Мощность и основные параметры
•	Резервная мощность (Standby): не менее 275 кВА
•	Основная мощность (Prime): не менее 250 кВА
•	Активная мощность: не менее 220 кВт
•	Частота: 50 Гц (обязательно)
•	Напряжение: 400 В, трехфазное
•	1.3. Двигатель
•	Тип: дизельный
•	1.4. Расход топлива
•	При 100% нагрузке: ≤ 60 л/ч
•	При 75% нагрузке: ≤ 45 л/ч
•	1.5. Генератор (Альтернатор)
•	Диапазон напряжения: 380/400/415 В
•	Форма волны: синусоидальная
•	Низкий коэффициент гармонических искажений (THD)
•	1.6. Система управления
•	Микропроцессорная панель управления
•	Автоматический запуск при отказе сети (AMF)
•	Автоматическое принятие нагрузки
•	Минимально обязательный мониторинг:
o	напряжение
o	ток
o	частота
o	мощность
•	1.7. Конструкция и установка
•	Дизель-генератор должен быть предназначен для эксплуатации как в закрытых помещениях, так и на открытых площадках (внутри здания или на открытом воздухе вне здания).
•	1.8. Условия окружающей среды
•	Рабочая температура: как минимум от -20 до +40°C
•	Уровень шума: ≤ 75 дБ(А) (на расстоянии 7 метров)
•	Шумоизоляционный кожух: обязательно
•	1.9. Минимальные требования к соответствию стандартам
•	ISO 8528
•	IEC 60034
•	NFPA 110
•	2. АВТОМАТИЧЕСКИЙ ВВОД РЕЗЕРВА (АВР / ATS) (количество: 2 штуки) (совместимый с предлагаемым дизель-генератором)
•	Номинальный ток: не менее 630 А
•	Наличие не менее 2 входных линий / 1 выходной линии
•	Экран для мониторинга текущего состояния
•	Многофункциональный модуль управления: определение приоритета входных линий, автоматическое и ручное управление и т.д.
•	3. ИСТОЧНИК БЕСПЕРЕБОЙНОГО ПИТАНИЯ (ИБП) (количество: 2 штуки)
•	3.1. Общие требования
•	Обеспечение режима двойного преобразования (онлайн / double conversion).
•	Модульная архитектура.
•	Замена силовых модулей без прерывания работы оборудования («горячая замена» / Hot Swap).
•	Интеграция с централизованными системами управления и мониторинга (DCIM).
•	3.2. Электрические параметры
•	Входное напряжение: 380/400/415 В, трехфазное.
•	Выходное напряжение: 380/400/415 В, трехфазное.
•	Выходная частота: 50 Гц.
•	Мощность: не менее 150 кВА / 150 кВт.
•	Коэффициент мощности (эффективный): ≥ 0.99.
•	3.3. Эффективность и качество
•	Система ИБП должна иметь режим высокой эффективности или Эко-режим, в котором система должна обеспечивать:
o	эффективность ≥99% при нагрузке ≥50%;
o	соответствие требованиям стандарта IEC 62040-3 Class 1 (VFI-SS-111).
•	Указанный стандарт должен обеспечивать высокий уровень защиты, эквивалентный технологии двойного преобразования.
•	В режиме высокой эффективности должно обеспечиваться:
o	коррекция коэффициента мощности;
o	снижение гармонических искажений.
•	3.4. Перегрузочная способность и защита
•	Устойчивость к перегрузкам:
o	≥125% — не менее 10 минут;
o	≥150% — не менее 60 секунд.
•	Устойчивость к короткому замыканию: ≥ 65 кА.
•	Встроенный статический байпас (Bypass): обязательно.
•	3.5. Аккумуляторная система
•	Тип: внешняя аккумуляторная система.
•	Поддерживаемые технологии: VRLA (свинцово-кислотные с регулирующим клапаном) или Lithium-ion (литий-ионные).
•	Напряжение: 384–576 В постоянного тока (VDC).
•	Должно обеспечиваться:
o	автономная работа не менее 7 минут при 100% нагрузке;
o	система управления аккумуляторами (BMS).
•	3.6. Управление и мониторинг
•	LCD-дисплей или эквивалентный интерфейс.
•	Мониторинг по протоколам SNMP/Web.
•	Интеграция с существующей системой DCIM.
•	Регистрация (логирование) событий.
•	3.7. Физические и экологические требования
•	Рабочая температура: от 0°C до +40°C.
•	Влажность: до 95% (без конденсации).
•	Класс защиты: ≥ IP21.
•	3.8. Минимальные требования к соответствию стандартам
•	IEC 62040-1
•	IEC 62040-2
•	IEC 62040-3
•	Панель сервисного байпаса ИБП (Maintenance Bypass Panel / MBP) (количество: 2 штуки)
•	4.1. Общие требования
•	Панель сервисного байпаса (MBP) должна обеспечивать возможность технического обслуживания или замены системы ИБП без отключения нагрузки.
•	Система должна обеспечивать:
o	полное отключение ИБП для целей технического обслуживания;
o	непрерывное питание нагрузки от внешнего источника питания (по линии байпаса).
•	4.2. Применение
MBP должна использоваться:
•	во время технического обслуживания ИБП;
•	при замене модулей ИБП;
•	в аварийных ситуациях.
•	4.3. Электрические параметры
•	Напряжение: 400 В, трехфазное.
•	Частота: 50 Гц.
•	Ток: в соответствии с номинальным током системы ИБП (не менее 200 А).
•	4.4. Конструкция и состав
Система MBP должна включать в себя:
•	входной автоматический выключатель (Input breaker);
•	входной автоматический выключатель ИБП;
•	выходной автоматический выключатель ИБП;
•	переключатель сервисного байпаса (Maintenance bypass switch).
•	4.5. Функциональные возможности
•	Возможность обхода (байпасирования) ИБП без отключения нагрузки.
•	Безопасное переключение между режимами «ИБП ↔ байпас».
•	Наличие механической или электрической системы блокировки (interlock).
•	4.6. Безопасность
•	Предотвращение ошибочных действий персонала (блокировка / interlocking).
•	Защита от короткого замыкания и перегрузки.
•	Четкая индикация/маркировка положений (Normal / Bypass / Maintenance).
•	4.7. Интеграция
•	Полная совместимость с предлагаемой системой ИБП.
•	Установка без необходимости изменения существующей инфраструктуры.
•	4.8. Требования к установке
•	Установка рядом с ИБП или в том же помещении.
•	Обеспечение легкого доступа для технического обслуживания.
•	4.9. Минимальные требования к соответствию стандартам
•	Соответствие стандартам IEC для низковольтных распределительных щитов.
•	5. Блоки распределения питания (PDU) (количество: 8 штук)
•	5.1. Общие требования
Поставляемые блоки распределения питания (PDU) должны быть предназначены для центров обработки данных (ЦОД) и обеспечивать надежное электроснабжение серверного оборудования.
•	5.2. Конструкция
•	Тип: вертикальный (Vertical) Rack PDU.
•	Монтаж: в 19" шкафах, в форм-факторе 0U (ноль U).
•	Назначение: для непрерывной работы в режиме 24/7.
•	5.3. Электрические параметры
•	Входной ток: не менее 32 А, трехфазный (3P+N+E).
•	Номинальная мощность: не менее 22.2 кВА.
•	5.4. Входное подключение
•	Входной разъем (вилка): IEC 60309, 3P+N+E.
•	Длина входного кабеля: не менее 3 метров.
•	5.5. Выходные розетки
PDU должен иметь:
•	Общее количество розеток: не менее 36 штук, из которых:
o	не менее 18 штук: IEC C13 (10 А);
o	не менее 18 штук: универсального или комбинированного типа, которые могут использоваться:
	как C13 (10 А),
	либо как C19 (16 А).
•	5.6. Тип розеток и безопасность
•	Все розетки должны быть с функцией фиксации кабеля (locking type).
•	Должна обеспечиваться:
o	фиксация разъемов C14;
o	фиксация разъемов C20.
•	Данное требование является обязательным для исключения случайного отсоединения кабелей питания.
•	5.7. Управление и мониторинг
Мониторинг электропитания:
•	Обязательно: как минимум на общем уровне и с возможностью удаленного мониторинга (по протоколам SNMP/Web или эквивалентным).
•	Желательно: мониторинг отдельных выходных групп (розеток).
•	5.8. Безопасность и защита
•	Защита от перегрузок.
•	Контроль тока.
•	Высокая надежность в условиях среды центра обработки данных.
•	5.9. Совместимость
•	Совместимость с установленными в ЦОД шкафами APC NetShelter SX Gen 2 и предлагаемыми серверными шкафами.
•	Монтаж без необходимости дополнительной адаптации.
•	________________________________________
•	6. Распределительный щит (панель) (количество: 2 штуки)
•	Тип: Модульная распределительная панель для установки в серверный шкаф (Modular Rack-mounted Distribution Panel).
•	Мощность: до 138 кВА.
•	Напряжение: 400 В.
•	Возможность установки не менее 6 модулей.
•	Высота: не менее 5U.
•	Включая ИТ-модуль распределения питания (IT Power Distribution Module) (количество: по 4 штуки для каждого щита/панели):
•	Ток: трехфазный, 32 А.
•	Подключение: IEC 309.
•	Длина: не менее 320 см.
•	7. Силовой модуль, совместимый с APC Symmetra PX 48 и ИБП мощностью 96/160 кВт (количество: 4 штуки)
•	Мощность: 16 кВт.
•	Напряжение: 400 В.
•	Назначение: для масштабирования (увеличения) мощности существующих источников бесперебойного питания APC Symmetra PX.
•	8. Батарейный блок (модуль), совместимый с APC Symmetra PX 48 и ИБП мощностью 96/160 кВт (количество: 72 штуки)
•	Аккумуляторный элемент емкостью 9 Ач для системы ИБП.
•	Категория высокой эффективности.
•	9. ВОДОХЛАЖДАЮЩАЯ МАШИНА (ЧИЛЛЕР) С ВОЗДУШНЫМ ОХЛАЖДЕНИЕМ (количество: 2 штуки)
•	9.1. Основные технические параметры
•	Чиллер с воздушным охлаждением конденсатора и системой свободного охлаждения (free-cooling).
•	Air-cooled water chillers with free-cooling system.
•	Осевые вентиляторы и спиральные компрессоры (Axial fans and scroll compressors).
•	Хладагент: HFC R410A / HFO R454B.
•	Напряжение: 400 В / трехфазное / 50 Гц.
•	Номинальная холодопроизводительность: не менее 193.8 кВт.
•	Энергоэффективность: EER ≥ 3.0.
•	Режим работы: непрерывный, 24/7.
•	9.2. Температурные параметры (КРИТИЧЕСКИЙ ПУНКТ)
•	Подача воды (Supply): 7°C ±1°C.
•	Обратная вода (Return): 12°C ±2°C.
•	Должно обеспечиваться:
o	стабильная температура при переменной тепловой нагрузке;
o	соответствующий температурный перепад (ΔT ≈ 5°C).
•	9.3. Интеграция и подключения (КРИТИЧЕСКИЙ ПУНКТ)
Чиллер должен обеспечивать:
•	подключение к существующим трубопроводам без внесения изменений;
•	соответствующие показатели расхода и давления;
•	подключение к существующей системе электроснабжения (400 В, 50 Гц);
•	интеграцию по принципу «plug-and-play».
•	Не допускается:
o	изменение конфигурации трубопроводов;
o	перестройка/модификация кабельных линий.
•	9.4. Габариты и установка (КРИТИЧЕСКИЙ ПУНКТ)
•	Чиллер должен иметь следующие максимальные габариты:
o	Длина: максимум 4.6 м (или 4600 мм);
o	Ширина: максимум 1.15 м (или 1150 мм);
o	Высота: максимум 2.2 м (или 2200 мм).
•	9.5. Управление и мониторинг
•	Автоматическое управление.
•	Интеграция с системами BMS/DCIM.
•	Удаленный мониторинг.
•	9.6. Надежность и работа
•	Непрерывная работа в режиме 24/7.
•	Стабильная работа при изменяющихся тепловых нагрузках.
•	10. ВНУТРИРЯДНАЯ СИСТЕМА ОХЛАЖДЕНИЯ (INROW) (количество: 4 штуки)
•	Внутрирядный кондиционер InRow шириной до 300 мм, с водяным охлаждением (Chilled Water).
•	Двойной ввод питания (dual power feed).
•	Непрерывная работа при отказе одного из источников питания.
•	Внутренняя отказоустойчивость (fault tolerance).
•	Частота: 50 Гц.
•	Тип: ST (Standard).
•	Холодопроизводительность: до 40 кВт.
•	Возможность интеграции с системами DCIM и BMS по протоколам Modbus и/или Ethernet.
•	11. Запасные части, полностью совместимые с устройствами охлаждения APC InRow ACRC301S/H:
•	Конденсатный насос, 24 В постоянного тока: PUMP CONDENSATE CHARLES 24VDC (количество: 5 штук).
•	Регулирующий водяной клапан, 24 В: ACTUATOR MS4D 24VAC/24VDC STD (количество: 3 штуки).
•	Воздушный фильтр, 2", 30% гофрированный (немоющийся): RC Filter IR17 2" 30% Pleated (количество: 16 штук).
•	Воздушный фильтр, толщина 1/2", моющийся: RC Filter-IR Series 1/2'THK Washable-Spare Part (количество: 16 штук).
•	12. СЕРВЕРНЫЕ ШКАФЫ И АКСЕССУАРЫ
•	12.1. Серверный шкаф (количество: 4 штуки)
•	Серверный шкаф с боковыми панелями.
•	Высота: 42U.
•	Размеры: 600 мм х 1200 мм.
•	Цвет: черный.
•	Включая систему организации кабелей для каждого дополнительного шкафа: 1 комплект, состоящий из:
o	кабельный организатор с открытым низом, 600 мм (количество: 1 штука);
o	разделитель для информационных кабелей, 600 мм, с проходным отверстием, черный (количество: 1 штука);
o	разделитель для информационных кабелей, 600 мм, черный (количество: 1 штука).
•	Включая датчики для каждого дополнительного шкафа с возможностью интеграции с системой DCIM: 1 комплект, состоящий из:
o	датчик температуры и влажности (количество: 2 штуки);
o	датчик температуры (количество: 1 штука).
•	12.2. Система изоляции горячего коридора (Aisle Containment) для каждого ЦОД: г. Ереван и г. Дилижан.
•	13. МОДЕРНИЗАЦИЯ ПРОТИВОПОЖАРНОЙ СИСТЕМЫ, ТЕХНИЧЕСКОЕ ОБСЛУЖИВАНИЕ ОБОРУДОВАНИЯ, УСТРАНЕНИЕ НЕИСПРАВНОСТЕЙ
•	13.1. Общие положения и требования
•	Все работы должны выполняться в соответствии с требованиями Строительных норм Республики Армения СНРА 21-01.01-2024 (ՀՀՇՆ 21-01.01-2024).
•	Исполнитель обязан после завершения работ предоставить исполнительную документацию, акты испытаний, а также руководства по эксплуатации системы.
•	13.2. Архитектурно-строительная часть (Противопожарная дверь)
•	13.2.1. Требуемый товар/работа: Замена входной стеклянной двери на противопожарную металлическую дверь.
•	13.2.2. Технические требования:
o	Класс огнестойкости: не менее EI 30 (сохраняет целостность и теплоизоляцию под воздействием огня не менее 30 минут).
o	Конструкция: Специальная металлическая дверь с огнестойким наполнением внутри створок. Размеры: 1200х2300 мм.
o	Сертификация: Дверь должна иметь международный сертификат (например, EN 1634-1, ГОСТ Р 53307) или национальный сертификат соответствия.
•	13.2.3. Комплектация (Фурнитура):
o	Дверной доводчик, соответствующий весу двери.
o	Терморасширяющаяся (противодымная) лента по периметру коробки.
o	Ручка «Антипаника» (Anti-panic) с внутренней стороны.
•	Электромеханический замок, 12 В: для подключения к электронной системе контроля и управления доступом (СКУД).
•	13.3. ТЕХНОЛОГИЧЕСКАЯ ЧАСТЬ (СИСТЕМА ПОЖАРОТУШЕНИЯ)
•	13.3.1. Существующая проблема: Насадки (оросители) газового пожаротушения расположены низко. Рядом с пристенной насадкой проходят трубы значительного размера, что препятствует правильному процессу испарения/рассеивания огнетушащего вещества.
•	13.3.2. Технические требования:
o	Выполнить работы по переносу и выравниванию насадок в соответствии с конфигурацией других существующих инженерных систем и техническими требованиями к огнетушащему веществу.
o	Высота установки: не далее 30 см от потолка.
o	Защищенная зона: Обеспечить отсутствие любых значительных препятствий (труб, балок, воздуховодов) в радиусе около 1.2 метра от насадок в соответствии с техническими условиями применяемого огнетушащего вещества.
•	13.4. ЭЛЕКТРОТЕХНИЧЕСКАЯ ЧАСТЬ (СИСТЕМА СИГНАЛИЗАЦИИ И УПРАВЛЕНИЯ)
•	13.4.1. Состояние существующей системы: Главная панель «Рубеж-2ОП» (протокол R1) и модуль МПТ-1 находятся в неисправном состоянии.
•	13.4.2. Требования к модернизации (Переход на новую систему):
o	Демонтировать устаревшую главную панель системы «Рубеж» и неисправный прибор МПТ-1.
o	Смонтировать и запрограммировать единый приемно-контрольный прибор управления (ППКПУ), который как минимум способен выполнять функции заменяемых устройств.
•	13.4.3. Установка кнопок:
o	Установить кнопку ручного пуска пожаротушения с защитной крышкой.
o	Установить кнопку блокировки пуска пожаротушения.
•	13.4.4. Аудит и замена извещателей (датчиков):
o	Поставщик должен провести осмотр технического состояния и тестирование извещателей (датчиков).
o	В целях обеспечения 100% совместимости с новой системой и максимальной безопасности произвести замену 4 старых датчиков на новые дымовые/тепловые пожарные извещатели.
•	13.5. ВНЕДРЕНИЕ АСПИРАЦИОННЫХ СИСТЕМ
•	13.5.1. Места проведения работ: г. Ереван и г. Дилижан (точные адреса будут предоставлены Заказчиком).
•	13.5.2. Технические требования:
o	Установить высокочувствительные аспирационные пожарные извещатели (ASD) в соответствии с международным стандартом TIA-942 (например, Vesda / Xtralis или эквивалент).
o	Выполнить расчет, монтаж и проверку трубопровода забора воздуха (с воздухозаборными отверстиями).
o	Интегрировать аспирационные системы с общей центральной панелью пожарной сигнализации для передачи сигналов тревоги.
•	14. ОПИСАНИЕ МОНТАЖНЫХ, УСТАНОВОЧНЫХ, СБОРОЧНЫХ, ПУСКОНАЛАДОЧНЫХ РАБОТ И РАБОТ ПО ЗАМЕНЕ ПОСТАВЛЯЕМОГО ОБОРУДОВАНИЯ И ЗАПАСНЫХ ЧАСТЕЙ
•	14.1. Общие положения
•	Все работы выполняются в соответствии с техническими руководствами производителя и международными стандартами.
•	Работы выполняются по графику, согласованному с Заказчиком. Работы должны осуществляться без создания препятствий для деятельности Заказчика, согласно следующему рабочему графику.
•	14.2. Дизельный генератор
Монтажные и установочные работы:
•	Подготовка фундамента с виброизоляционными системами (при необходимости).
•	Транспортировка и установка генератора на заранее подготовленный фундамент.
•	Подключение топливного бака и трубопроводов.
•	Электрические подключения: к главному распределительному щиту и к АВР (ATS).
•	Обеспечение охлаждения и вентиляции в соответствии с руководством по эксплуатации производителя.
•	Пусконаладочные работы и настройка: в соответствии с руководством по эксплуатации производителя.
•	14.3. Автоматический ввод резерва (АВР / ATS)
Монтажные работы:
•	Установка АВР в электрощитовой (помещении электрораспределения) или в указанном месте.
•	Входные подключения: от сетевых линий и от линий генератора.
•	Выходные подключения: к главному распределительному щиту или к ИБП (UPS).
•	Подключение кабелей управления и обратной связи.
•	Проверка и подключение системы заземления.
•	Пусконаладочные работы и настройка:
o	Программирование логики переключения.
o	Настройка времени переключения (transfer time).
o	Тестирование автоматического и ручного переключения.
o	Проверка системы мониторинга параметров.
o	Интеграция мониторинга с центральной панелью
•	14.4. Источник бесперебойного питания (ИБП / UPS) и Панель сервисного байпаса (MBP)
Монтажные работы: в соответствии с руководством по эксплуатации производителя.
Пусконаладочные работы и настройка: в соответствии с руководством по эксплуатации производителя, включая:
•	Зарядка аккумуляторов и тест емкости (capacity test).
•	Активация и синхронизация модулей ИБП.
•	Настройка параметров: пределы напряжения, частота.
•	Тестирование переключения между байпасом (Bypass) и инвертором.
•	Тестирование устойчивости к нагрузке и перегрузке.
•	Измерение времени автономной работы (battery runtime test).
•	Тестирование переключений режимов MBP (Normal ↔ Bypass ↔ Maintenance).
•	Интеграция с DCIM/BMS и активация удаленного мониторинга.
•	Подписание протокола ввода в эксплуатацию.
•	14.5. Системы охлаждения (Чиллер и InRow)
Монтажные работы: в соответствии с руководством по эксплуатации производителя, включая:
•	Установка чиллера на внешней площадке (подготовка фундамента).
•	Подключение водяных трубопроводов (подача/возврат — supply/return).
•	Подключение электропитания (400 В, 3-фазное).
•	Проверка уровня хладагента (R410A/R454B).
•	Проверка герметичности системы (опрессовка / pressure test).
•	Программирование системы управления (температурные пределы, свободное охлаждение / free cooling).
•	Испытание и регулировка (поддержание 7°C на подаче / 12°C на возврате).
•	Интеграция с BMS/DCIM (Modbus/BACnet).
•	InRow: монтаж и ввод в эксплуатацию в соответствии с руководством по эксплуатации производителя, включая:
•	Установка устройства InRow между серверными шкафами.
•	Подключение водяных трубопроводов (охлажденная вода / chilled water).
•	Электропитание: подключение двойного ввода (dual feed).
•	Подключение и проверка дренажного (конденсатного) насоса.
•	Регулировка направления воздушного потока (airflow).
•	Настройка системы управления и интеграция с DCIM.
•	Установка воздушных фильтров.
•	14.6. Электрораспределительное оборудование (PDU, распределительные щиты/панели)
Монтажные работы: в соответствии с руководством по эксплуатации производителя, включая:
•	Установка Rack PDU в серверных шкафах 19" (в положении 0U).
•	Подключение входных кабелей (IEC 60309 длиной 3 м) к выходным панелям ИБП.
•	Проверка розеток с функцией фиксации кабеля (locking type).
•	Подключение распределительных щитов/панелей и модулей.
•	Проверка прочности электрических соединений (динамометрический контроль / torque test).
•	Пусконаладочные работы и проверка: в соответствии с руководством по эксплуатации производителя, включая:
•	Измерение напряжения на выходных розетках.
•	Активация мониторинга тока.
•	Тепловизионный контроль (thermal imaging) для обеспечения качества соединений.
•	Настройка мониторинга по протоколам SNMP/Web (при наличии).
•	14.7. Серверные шкафы и инфраструктура
Монтажные работы: в соответствии с руководством по эксплуатации производителя, включая:
•	Установка серверных шкафов и их выравнивание по горизонтали.
•	Установка боковых панелей и дверей.
•	Установка системы организации (менеджмента) кабелей.
•	Сборка и установка системы изоляции коридора (Aisle Containment).
•	Установка датчиков температуры и влажности.
14.8. Противопожарные системы и системы безопасности
Противопожарные двери:
•	Демонтаж старых стеклянных дверей.
•	Установка противопожарных металлических дверей (EI 30).
•	Установка дверных доводчиков и ручек «Антипаника» (anti-panic).
•	Подключение электромеханических замков (12 В) к системе контроля и управления доступом (СКУД).
•	Установка противопожарных (противодымных) лент в дверных коробках.
•	Система пожаротушения:
•	Перемонтаж насадок (оросителей) газового пожаротушения (не далее 30 см от потолка).
•	Устранение мешающих труб и препятствий в радиусе 1.2 м от насадок.
•	Тестирование и проверка давления (опрессовка).
•	Система сигнализации:
•	Демонтаж старой системы «Рубеж».
•	Установка и программирование приемно-контрольного прибора (ППКПУ) новой системы.
•	Установка кнопок ручного пуска и блокировки пожаротушения.
•	Аудит технического состояния пожарных извещателей (дым/тепло).
ИНЫЕ УСЛОВИЯ
* Поставляемые товары должны быть новыми и неиспользованными, в соответствующей заводской упаковке.
** Требуемые документы на продукцию: MAF (Авторизационное письмо производителя) и/или DAF (Авторизационное письмо дистрибьютора).
**** Все работы по подключению и адаптации чиллера к существующим трубопроводам и системам, а также по устройству переходных узлов осуществляются силами и за счет средств поставщика. Все новые трубы, используемые поставщиком в процессе подключения и адаптации, должны быть исключительно медными.
*****  На все товары, входящие в комплект, устанавливается гарантийный срок продолжительностью 730 (семьсот тридцать) календарных дней со дня подписания (утверждения) двустороннего акта приема-передачи.
****** С момента получения уведомления от Заказчика о выявленных в течение гарантийного срока недостатках или неисправностях, Поставщик обязан в течение 24 часов обеспечить визит специалиста по соответствующему адресу (г. Ереван или г. Дилижан).
******** Ремонт или замена неисправного оборудования или его частей осуществляется силами и за счет Поставщика в течение не более 20 календарных дней со дня уведомления. В случае отсутствия необходимой запчасти на местном рынке и необходимости ее импорта из-за рубежа, по соглашению сторон устанавливается иной разумный срок
********* При монтаже, установке или замене любого оборудования установка нового оборудования должна быть организована таким образом, чтобы никоим образом не нарушалась работа серверов.
********** Общая тепловая нагрузка, выделяемая серверным оборудованием КГД, составляет около 90 кВт. Предлагаемый чиллер должен обеспечивать необходимое охлаждение, соответствующее указанной тепловой нагрузке, поддерживая в помещении требуемые условия для эксплуатации серверов.
*********** Процесс закупки организуется в соответствии с частью 6 статьи 15 Закона РА «О закупках».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ՊԵԿ-ԷԱՃԱՊՁԲ-2026/11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(Агароняна 12/3) и г. Дилижан (Парз Лчи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соответствующих финансовых средств для этой цели и на основании заключения между сторонами соответствующего соглашения на его основе в течение 252 календарных дней, считая со дня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ՊԵԿ-ԷԱՃԱՊՁԲ-2026/11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ՊԵԿ-ԷԱՃԱՊՁԲ-2026/11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ՊԵԿ-ԷԱՃԱՊՁԲ-2026/11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