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Средства борьбы с сорняками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ԲԷՑ-ԷԱՃԱՊՁԲ-26/23</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Средства борьбы с сорняками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Средства борьбы с сорняками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Средства борьбы с сорняками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борьбы с сорняками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борьбы с сорняками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 (гербицид) неселективного (сплошного) действия с активным действующим веществом Имазапир (250 г/л), предназначенный для борьбы с сорняками с наиболее длительным периодом защитного действия. Товар должен быть оригинального заводского производства, герметично закрытым, в неповрежденной таре емкостью 1 литр. На таре должна присутствовать заводская маркировка (дата производства, срок годности). На момент поставки остаточный срок годности препарата должен составлять не менее 75% от общего срока годности, предусмотренного со дня производства. Товары должны быть неиспользованными, новыми и качественными.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календарного дня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борьбы с сорняками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