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ՍՉԱՄ-ԷԱՃԱՊՁԲ-26/12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ՍՏԱՆԴԱՐՏԱՑՄԱՆ ԵՎ ՉԱՓԱԳԻՏՈՒԹՅԱՆ ԱԶԳԱՅԻՆ ՄԱՐՄԻՆ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«Ստանդարտացման և  չափագիտության ազգային մարմին» ՓԲԸ-ի 2026թ-ի կարիքների համար բենզինի և դիզելային վառելիքի ձեռքբերում 2026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Բադալյան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+37410232600,   +37493212181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gnumner@armstandard.am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ՍՏԱՆԴԱՐՏԱՑՄԱՆ ԵՎ ՉԱՓԱԳԻՏՈՒԹՅԱՆ ԱԶԳԱՅԻՆ ՄԱՐՄԻՆ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ՍՉԱՄ-ԷԱՃԱՊՁԲ-26/12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ՍՏԱՆԴԱՐՏԱՑՄԱՆ ԵՎ ՉԱՓԱԳԻՏՈՒԹՅԱՆ ԱԶԳԱՅԻՆ ՄԱՐՄԻՆ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ՍՏԱՆԴԱՐՏԱՑՄԱՆ ԵՎ ՉԱՓԱԳԻՏՈՒԹՅԱՆ ԱԶԳԱՅԻՆ ՄԱՐՄԻՆ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«Ստանդարտացման և  չափագիտության ազգային մարմին» ՓԲԸ-ի 2026թ-ի կարիքների համար բենզինի և դիզելային վառելիքի ձեռքբերում 2026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ՍՏԱՆԴԱՐՏԱՑՄԱՆ ԵՎ ՉԱՓԱԳԻՏՈՒԹՅԱՆ ԱԶԳԱՅԻՆ ՄԱՐՄԻՆ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«Ստանդարտացման և  չափագիտության ազգային մարմին» ՓԲԸ-ի 2026թ-ի կարիքների համար բենզինի և դիզելային վառելիքի ձեռքբերում 2026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ՍՉԱՄ-ԷԱՃԱՊՁԲ-26/12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gnumner@armstandard.am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«Ստանդարտացման և  չափագիտության ազգային մարմին» ՓԲԸ-ի 2026թ-ի կարիքների համար բենզինի և դիզելային վառելիքի ձեռքբերում 2026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ՍՏԱՆԴԱՐՏԱՑՄԱՆ ԵՎ ՉԱՓԱԳԻՏՈՒԹՅԱՆ ԱԶԳԱՅԻՆ ՄԱՐՄԻՆ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ՍՉԱՄ-ԷԱՃԱՊՁԲ-26/12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ՍՉԱՄ-ԷԱՃԱՊՁԲ-26/12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«ՍՉԱՄ-ԷԱՃԱՊՁԲ-26/12»*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«ՍՉԱՄ-ԷԱՃԱՊՁԲ-26/12»*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«Ստանդարտացման և  չափագիտության ազգային մարմին» ՓԲԸ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80, շարժիչային մեթոդով` ոչ պակաս 76, բենզինի հագեցած գոլորշիների ճնշումը ձմեռային շրջանում՝ 35-ից մինչև 100 կՊա, ամառային շրջանում՝ 35-80 կՊա կապարի պարունակությունը 5 մգ/դմ3-ից ոչ ավելի, բենզոլի ծավալային մասը 1 %-ից ոչ ավելի, ծծմբի պարունակությունը` 10 մգ/կգ-ից ոչ ավելի, թթվածնի զանգվածային մասը` 2,7 %-ից ոչ ավելի, օքսիգենատների ծավալային մասը ոչ ավելի` մեթանոլ-1 %, էթանոլ-5 %, իզոպրոպանոլ-10%, իզոբութանոլ-10%, ածխաջրածնային ծավալային մասը ոչ ավելի, արոմատիկ՝  35 %, օլիֆինային՝ 18 %, այլ օքսիգենատներ ոչ ավելի-10 %, անվտանգությունը, մակնշումը և փաթեթավորումը` ըստ Մաքսային միության հանձնաժողովի 2011 թվականի հոկտեմբերի 18-ի N 826 որոշմամբ հաստատված «Ավտոմոբիլային և ավիացիոն բենզինին, դիզելային և նավերի համար նախատեսված վառելիքին, ռեակտիվ շարժիչների համար նախատեսված վառելիքին և մազութին ներկայացվող պահանջների մասին» (ՄՄ ՏԿ 013/2011) Մաքսային միության տեխնիկական կանոնակարգի:
Այլ պայմաններ* Ապրանքի մատակարարումն իրականացվում է կտրոնային եղանակով, որոնց ժամկետը պետք է վավեր լինի ստանալու պահից առնվազն 1 տարի: Լցակայանների ելքն ու մուտքերը պետք է լինեն անվտանգ՝ համաձայն երթևեկության կանոնների պահանջներին: Լցակայանները պետք է լինեն Երևան քաղաքում և ՀՀ մարզերում:ընթացքում: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800-ից մինչև 850կգ/մ3, ծծմբի պարունակությունը ոչ ավելի 10մգ/կգ--ում, բռնկման ջերմաստիճանը  550C ոչ ցածր, ածխածնի մնացորդը 10% նստվածքում 0,3%-ից ոչ ավելի, մածուցիկությունը  400C-ում  2,0-ից մինչև  4,5մմ2/վ, անվտանգությունը,      մակնշումը և փաթեթավորումը` ըստ ՀՀ կառավարության 2004թ. նոյեմբերի 11-ի N1592-Ն որոշմամբ հաստատված «Ներքին այրման շարժիչային վառելիքների տեխնիկական կանոնակարգի»: 
 Այլ պայմաններ* Ապրանքի մատակարարումն իրականացվում է կտրոնային եղանակով, որոնց ժամկետը պետք է վավեր լինի ստանալու պահից առնվազն 1 տարի: Լցակայանների ելքն ու մուտքերը պետք է լինեն անվտանգ՝ համաձայն երթևեկության կանոնների պահանջներին: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օրացույցային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