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ԿԾԿԾԻԳ-ԷԱՃԱՊՁԲ-26/18 для нужд БРП ОНКС РА “Центр образовательных программ”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ԿԾԿԾԻԳ-ԷԱՃԱՊՁԲ-26/18</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ԿԾԿԾԻԳ-ԷԱՃԱՊՁԲ-26/18 для нужд БРП ОНКС РА “Центр образовательных программ”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ԿԾԿԾԻԳ-ԷԱՃԱՊՁԲ-26/18 для нужд БРП ОНКС РА “Центр образовательных программ”</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ԿԾԿԾԻԳ-ԷԱՃԱՊՁԲ-26/18 для нужд БРП ОНКС РА “Центр образовательных программ”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ԿԾԿԾԻԳ-ԷԱՃԱՊՁԲ-26/18*</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ԿԾԿԾԻԳ-ԷԱՃԱՊՁԲ-26/18</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каркас стула учителя должен быть изготовлен из металлических полых овальных труб 30x15x2 мм.
Сварные швы металлического каркаса стула должны быть обработаны, гладкими и покрыты высококачественной порошковой краской чёрного цвета.
Размеры стула:
от пола до сиденья — 49 см,
от пола до верхней части спинки — 83 см,
ширина сиденья и спинки — 49 см,
глубина сиденья до спинки — 42 см,
высота спинки — 30 см.
Задние части спинки и сиденья закрыты пластиковыми корпусами, заполненными мебельным поролоном толщиной 25 мм и плотностью 25 кг/м³, обтянутыми качественной, прочной и износостойкой тканью чёрного цвета.
На ножки металлического каркаса должны быть закреплены пластиковые заглушки из полиэтилена с толщиной стенок 2 мм и толщиной опорной части 4 мм.
Все соединения должны быть болтовыми.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Учительский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