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 կարիքների համար անհրաժեշտություն է առաջացել ՃԱԿ-ԷԱՃԱՊՁԲ-26/15 ծածկագրով բենզին ռեգուլյար և դիզելային վառելիքի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Առողջության Կենտրոն ՓԲԸ կարիքների համար անհրաժեշտություն է առաջացել ՃԱԿ-ԷԱՃԱՊՁԲ-26/15 ծածկագրով բենզին ռեգուլյար և դիզելային վառելիքի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Առողջության Կենտրոն ՓԲԸ կարիքների համար անհրաժեշտություն է առաջացել ՃԱԿ-ԷԱՃԱՊՁԲ-26/15 ծածկագրով բենզին ռեգուլյար և դիզելային վառելիքի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Առողջության Կենտրոն ՓԲԸ կարիքների համար անհրաժեշտություն է առաջացել ՃԱԿ-ԷԱՃԱՊՁԲ-26/15 ծածկագրով բենզին ռեգուլյար և դիզելային վառելիքի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Կտրոնային տարբերակով լիցքավորման հնարավորություն ապահովել ՀՀ բոլոր մարզերում, և ք.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Մատակարարումը՝կտրոնային: Մատակարարումը՝ Կտրոնային տարբերակով լինելու դեպքում լիցքավորման հնարավորություն ապահովել ՀՀ բոլոր մարզերում, և ք. Երևանում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