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սպլիտ տիպի օդորակիչ՝ տաքացման և հովացման հիմնական ռեժիմներով։ Հզորությունը՝ առնվազն 12 000 BTU կամ ավելի։ Սպասարկվող մակերեսը՝ առնվազն 40մ²։ Հագեցած լինի ածխային ֆիլտրով։ Սառեցման հզորությունը՝ առնվազն 3.52 կՎտ, Ջեռուցման հզորությունը՝ առնվազն 3.66 կՎտ, Էլեկտրաէներգիայի սպառում (հովացում/ջեռուցում)՝ առնվազն 1.090/1.010 կՎտ, Ջեռուցման ռեժիմում նվազագույն աշխատանքային ջերմաստիճանը՝ -16°C։ Երաշխիքային ժամկետը՝ առնվազն 5 տարի։Նախատեսել ստանդարտ տեղադրում: Տեղադրման աշխատանքները ներառված լինեն ընդհանուր արժեքի մեջ։ Ապրանքը պետք է լինեն չօգտագործված, ամբողջական փաթեթավորմամբ: Մատակարարումն իրականցվում է մատակարարի կողմից քաղաք Գյումրի Գարեգին Նժդեհի 3/3 հասցեով, մինչև առաքման օրվա ժամը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սպլիտ տիպի օդորակիչ՝ տաքացման և հովացման հիմնական ռեժիմներով։ Հզորությունը՝ առնվազն 24 000 BTU կամ ավելի։ Սպասարկվող մակերեսը՝ առնվազն 70-80մ²։ Հագեցած լինի ածխային ֆիլտրով։ Սառեցման հզորությունը՝ առնվազն  7կՎտ, Ջերմային հզորությունը՝ առնվազն 7.18 կՎտ, Էլեկտրաէներգիայի սպառում (հովացում/ջեռուցում)՝ առնվազն 2.1/1.9 կՎտ:  Ջեռուցման ռեժիմում նվազագույն աշխատանքային ջերմաստիճանը՝       -15°C։ Երաշխիքային ժամկետը՝ առնվազն 5 տարի։ Նախատեսել ստանդարտ տեղադրում:Տեղադրման աշխատանքները ներառված լինեն ընդհանուր արժեքի մեջ։ Ապրանքը պետք է լինեն չօգտագործված, ամբողջական փաթեթավորմամբ: Մատակարարումն իրականցվում է մատակարարի կողմից քաղաք Գյումրի Գարեգին Նժդեհի 3/3 հասցեով, մինչև առաքման օրվա ժամը 16:00: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կնքման օրվանից հետո 20 (քսան) օրացուցային օրվանից սկսած, սակայն ոչ ուշ, քան 25 (քսանհինգ) օրացուցային օրվա ընթացքում,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կնքման օրվանից հետո 20 (քսան) օրացուցային օրվանից սկսած, սակայն ոչ ուշ, քան 25 (քսանհինգ) օրացուցային օրվա ընթացքում,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