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ՀՀԱՄՄՀ-ԷԱՃԱՊՁԲ-26/133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ՀՀԱՄՄՀ-ԷԱՃԱՊՁԲ-26/133</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ՀՀԱՄՄՀ-ԷԱՃԱՊՁԲ-26/133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ՀՀԱՄՄՀ-ԷԱՃԱՊՁԲ-26/133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ՀՀԱՄՄՀ-ԷԱՃԱՊՁԲ-26/133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суджух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Бастурма дорогая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Сырные палочки, копченые белые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Палочки для фуршета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черные оливки без косточек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коньяк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белое вино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красное вино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каменный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полукопченая колбаса большая Пикант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полукопченая колбаса вакуумная Чоризо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Индийский орех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Солёный арахис Sega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миндаль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Фисташки Sega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(черный)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суджух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Суджук в вакуумной упаковке торговых марок «Афины», «Гандзасар», «Бекон» или эквивалент, изготовленный из говядины и свинины, по ГОСТ 16131-86 или техническим условиям производителя, с массовой долей влаги не более 30 %, упакованный в вакуумную упаковку или без неё. Каждая единица упаковки должна иметь соответствующую маркировку․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Бастурма дорогая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Бастурма традиционного сырокопчёного вида торговых марок «Афины», «Гандзасар», «Бекон» или эквивалент, изготовленная из говядины и свинины, по ГОСТ 16131-86 или техническим условиям производителя, с массовой долей влаги не более 30 %, упакованная в вакуумную упаковку или без неё. Каждая единица упаковки должна иметь соответствующую маркировку․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Сырные палочки, копченые белые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«Косичка» (ниточный сыр), твёрдый, из коровьего молока, рассольный, копчёный, от белого до светло-жёлтого цвета, с массовой долей жира 46 %. Срок годности — не менее 90 % от установленного срока. Соответствие ГОСТ 7616-85 или эквиваленту.
Безопасность продукции и маркировка должны соответствовать требованиям «Технического регламента, устанавливающего требования к молоку, молочной продукции и их производству», утверждённого Решением Правительства Республики Армения от 21 декабря 2006 года № 1925-Н, а также статье 8 Закона Республики Армения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позднее чем за 3 календарных дня до поставки) по электронной почте или телефонной связи.
Поставка осуществляется за счёт средств Поставщика в соответствующие детские сады по указанным адресам, транспортными средствами, предназначенными для перевозки пищевых продуктов, с санитарными паспортами, оформленными в соответствии с Приказом № 85-Н от 2017 года Руководителя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пищевых продуктов, предусмотренных указанным решением.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Палочки для фуршета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Палочки, предназначенные для закусок, длиной 15–20 см. Продукция должна соответствовать действующим санитарно-гигиеническим и требованиям безопасности, предъявляемым к материалам, предназначенным для контакта с пищевыми продуктами. Упаковка должна быть заводской․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столовые, трёхслойные, одинакового размера, масса 1 м² бумаги — 20 г, влажность — 0 %, в коробках по 150–200 штук, изготовленные из мягкой бумаги․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черные оливки без косточек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Маслины консервированные, фаршированные, целые, чёрные без косточки, масса нетто — 300–350 г. Торговых марок «Coopoliva», «Aiello», «Top Sun» или эквивалент.
Продукция должна соответствовать действующим нормам и стандартам Республики Армения.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сок торговых марок «Добрый», «Садочок», «Sandora» или эквивалент, в упаковке объёмом 1 л.
Изготовлен из очищенной артезианской воды, сахара, концентрированного сока манго, яблока или апельсина, концентрированного пюре манго, яблока или апельсина, регулятора кислотности — лимонной кислоты, стабилизаторов — пектинов, натуральных ароматизаторов, антиоксиданта — аскорбиновой кислоты, красителя — каротинов.
Фруктовые соки, изготовленные из свежих фруктов и плодов, с мякотью, с добавлением сахарного сиропа или без него. По внешнему виду: прозрачные — массовая доля осадка не более 0,2 %, непрозрачные — не менее 0,8 %.
Безопасность продукции и маркировка должны соответствовать требованиям «Технического регламента, устанавливающего требования к сокам и соковой продукции», утверждённого Решением Правительства Республики Армения от 26 июня 2009 года № 744-Н, а также статье 8 Закона Республики Армения «О безопасности пищевых продуктов»․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в полиэтиленовой таре объёмом 1 л, из скважины 30/62 (минерализация 3,9–4,8 г/дм³) или 2/61 62 (минерализация 4,0–4,7 г/дм³), или 1/00 (минерализация 4,2–5,2 г/дм³), или 1/2001 (минерализация 3,2–4,7 г/дм³).
Упаковка: вода должна быть разлита в бутылки, изготовленные из полимерных материалов. Соответствие требованиям ГОСТ 191-2000․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0,5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бутылках из полиэтиленовой тары объёмом 0,5 л, из скважины 30/62 (минерализация 3,9–4,8 г/дм³) или 2/61 62 (минерализация 4,0–4,7 г/дм³), или 1/00 (минерализация 4,2–5,2 г/дм³), или 1/2001 (минерализация 3,2–4,7 г/дм³).
Упаковка: вода должна быть разлита в бутылки, изготовленные из полимерных материалов.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коньяк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специальные коньячные дистилляты, спирты, изготовленные на основе винограда Араратской долины, которые придают коньяку яркий аромат и насыщенность вкуса.
Вкус: яркие карамельные оттенки, сочетание ириса и лёгких кофейных нот.
Аромат: сладкие ноты персика и сливы в сочетании с тонкими оттенками ванили и корицы.
Цвет: янтарный цвет с выраженным золотистым оттенком.
Объём: 0,5 л.
Крепость: 40 %.
Выдержка: 5 лет․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белое вино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 белое, объём 0,750 л, сухое, крепостью 13,5 %, изысканное вино со свежим ароматом и вкусом цитрусовых, ананаса и спелого персика Поставка осуществляется за счет средств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красное вино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 красное, объём 0,750 л, с низкой кислотностью, сухое, крепостью 13,5 %. Изысканное, лёгкое вино с чистым и свежим вкусом, с цветочно-фруктовыми акцентами, сбалансированной цитрусовой кислотностью и приятным послевкусием․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каменный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«Каменный» маленький. Изготовлен из пшеничной муки 1-го сорта, в соответствии с ГОСТ 31-99. Остаточный срок годности должен составлять не менее 90 % от установленного срока․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полукопченая колбаса большая Пикант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Колбаса полукопчёная «Пикантная» торговых марок «Атэнк», «Гандзасар», «Бекон» или эквивалент, изготовленная из говядины и свинины, в соответствии с ГОСТ 23670-79 или техническими условиями производителя, с массовой долей влаги не более 68 %, упакованная в вакуумную упаковку или без неё. Каждая единица упаковки должна иметь соответствующую маркировку․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полукопченая колбаса вакуумная Чоризо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Колбаса полукопчёная «Чоризо» в вакуумной упаковке торговых марок «Атэнк», «Гандзасар», «Бекон» или эквивалент, изготовленная из говядины и свинины, в соответствии с ГОСТ 23670-79 или техническими условиями производителя, с массовой долей влаги не более 68 %, упакованная в вакуумную упаковку. Каждая единица упаковки должна иметь соответствующую маркировку․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прохладительный напиток классический «Coca-Cola» 1 л․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прохладительный напиток классический «Fanta» 1 л․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прохладительный напиток классический «Sprite» 1 л․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итальянского, российского, армянского производства.
Высококачественные шоколадные конфеты из молочного, тёмного и/или белого шоколада с различными начинками (пралине, фундук, миндаль, крем или эквивалент), упакованные в коробки․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Индийский орех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Жареный Индийский орех, солёный․
Поставляемый продукт должен быть высококачественным жареным солёным кешью, со свежими, целыми и здоровыми ядрами. Кешью должен быть равномерно обжаренным, без подгоревших, сырых, расколотых или повреждённых орехов.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Солёный арахис Sega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Жареный солёный арахис.
Поставляемый продукт должен быть высококачественным жареным солёным арахисом, со свежими, целыми ядрами. Арахис должен быть равномерно обжаренным, без подгоревших или сырых орехов.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миндаль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Миндаль светлого цвета.
Поставляемый миндаль должен быть высококачественным, натурального происхождения, свежим и чистым.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Фисташки Sega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Фисташки с слегка приоткрытой скорлупой, слегка подсоленные.
Поставляемые фисташки должны быть высококачественными, натурального происхождения, свежими и чистыми. Фисташки должны быть цельными, с неповреждёнными ядрами․ Поставка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чёрный, изготовленный с использованием активированного угля или ржаной муки, что придаёт ему характерный чёрный цвет, насыщенный вкус и полезные свойства. Соответствует СТ РА 31-99.
Безопасность продукции — в соответствии с гигиеническими нормативами № 2-III-4.9-01-2010 и статьёй 8 Закона Республики Армения «О безопасности пищевой продукции».
Остаточный срок годности на момент поставки должен составлять не менее 90 % от общего срока годности.
Поставка осуществляется на основании предварительного заказа Покупателя, направленного по электронной почте или оформленного по телефону.
Доставка осуществляется за счёт средств Поставщика транспортными средствами, предназначенными для перевозки пищевой продукции, в соответствии с приказом № 85-Н руководителя Государственной службы безопасности пищевых продуктов Министерства сельского хозяйства Республики Армения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пищевой продукции, на которые распространяются требования указанного приказа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данного соглашения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Административный центр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в соответствии с требованиями, установленными подпунктом 2) пункта 6 статьи 15 Закона Республики Армения «О закупках». Расчёт срока в соответствующей графе осуществляется при наличии предусмотренных финансовых средств на основании соглашения, заключаемого между сторонами,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