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ձեռքբերում III եռամսյակ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ձեռքբերում III եռամսյակ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ձեռքբերում III եռամսյակ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ձեռքբերում III եռամսյակ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91, Խտությունը 150 C-ում` ոչ ավել 720-775կգ/մ3, Բենզոլի ծավալային մասը 1%-ից ոչ ավելի, ՀՀ կառավարության որոշում 16.06.2005թ. N 894-ն Տեխնիկական կանոնակարգ, վախենում է կրակից, հրավտանգ, Կապարի պարունակությունը՝ ոչ ավելի 0.005 գ/լ, մաքուր և պարզ,  Մատակարարումը՝  կտրոնային : Կտրոնները պետք է լինեն նոր , չօգտագործված:  Մատակարարի բենզինի կտրոնները պետք է  Հանրապետության Մեղրի, Կապան, Գորիս, Սիսիան և Երևան  քաղաքներում ունենան  սպասարկող բենզալցակայաններ: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