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ՀՀ-ԱՄ-ԱՀ-ԷԱՃԱՊՁԲ-57/26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Ապարանի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Արագածոտնի մարզ ք.Ապարան Բաղրամյան 26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Ապարանի համայնքապետարանի  և  Միավորված ազգերի կազմակերպության զարգացման համատեղ ծրագրի կարիքների համար պրոյեկտորի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Հովսեփյան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094231893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haykhovsepyanhv@mail.ru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Ապարանի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ՀՀ-ԱՄ-ԱՀ-ԷԱՃԱՊՁԲ-57/26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Ապարանի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Ապարանի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Ապարանի համայնքապետարանի  և  Միավորված ազգերի կազմակերպության զարգացման համատեղ ծրագրի կարիքների համար պրոյեկտորի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Ապարանի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Ապարանի համայնքապետարանի  և  Միավորված ազգերի կազմակերպության զարգացման համատեղ ծրագրի կարիքների համար պրոյեկտորի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ՀՀ-ԱՄ-ԱՀ-ԷԱՃԱՊՁԲ-57/26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haykhovsepyanhv@mail.ru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Ապարանի համայնքապետարանի  և  Միավորված ազգերի կազմակերպության զարգացման համատեղ ծրագրի կարիքների համար պրոյեկտորի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Ապարանի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ՀՀ-ԱՄ-ԱՀ-ԷԱՃԱՊՁԲ-57/26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ՀՀ-ԱՄ-ԱՀ-ԷԱՃԱՊՁԲ-57/26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«ՀՀ-ԱՄ-ԱՀ-ԷԱՃԱՊՁԲ-57/26»*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Ապարանի համայնքապետարան*  (այսուհետ` Պատվիրատու) կողմից կազմակերպված` ՀՀ-ԱՄ-ԱՀ-ԷԱՃԱՊՁԲ-57/26*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«ՀՀ-ԱՄ-ԱՀ-ԷԱՃԱՊՁԲ-57/26»*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Ապարանի համայնքապետարան*  (այսուհետ` Պատվիրատու) կողմից կազմակերպված` ՀՀ-ԱՄ-ԱՀ-ԷԱՃԱՊՁԲ-57/26*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տեխնոլոգիա՝  3LCD կամ DLP
Թույլատրելի կետայնություն՝ առնվազն 3840x2160 (4K UHD)
Պայծառություն՝  առնվազն  5000-10000 ANSI Lumens
Ներկառուցված հիշողություն՝ առնվազն  32 ԳԲ
Անկյունների հարաբերակցություն՝ առնվազն 16:9
Կոնտրաստ՝ առնվազն 5000000:1
Լամպի տեսակ՝ Laser
Աշխատանքային ռեսուրս (Laser Life)՝  Առնվազն 20,000 ժամ (Eco ռեժիմում՝ մինչև 30,000 ժամ) առանց պայծառության կորստի
Էկրանի բացման նվազագույն չափը՝  450 դույմ
Օբյեկտիվի նորմատիվը՝ օպտիկական  1.35-2.20:1
Ապրանքը պետք է լինի նոր, չօգտագործված և փաթեթավորված: Երաշխիքային ժամկետը  պետք է լինի  առնվազն 365 օրացույցային օր: Մատակարարումը և բեռնաթափումը պահեստ իրականացվում է Վաճառողի  կողմից սեփական միջոցների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20-րդ օրացույցային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