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ՌԱԴԻՈԸՆԿԵՐՈՒԹՅՈՒՆ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Ալեք Մանուկյան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ՀՀՌ կարիքների համար տեխնիկայի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Հեղինե Վալադյան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010552172/118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h.valadyan@armradio.am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ՀԱՆՐԱՅԻՆ ՌԱԴԻՈԸՆԿԵՐՈՒԹՅՈՒՆ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ՀԱՆՐԱՅԻՆ ՌԱԴԻՈԸՆԿԵՐՈՒԹՅՈՒՆ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ՀԱՆՐԱՅԻՆ ՌԱԴԻՈԸՆԿԵՐՈՒԹՅՈՒՆ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ՀՀՌ կարիքների համար տեխնիկայի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ՀԱՆՐԱՅԻՆ ՌԱԴԻՈԸՆԿԵՐՈՒԹՅՈՒՆ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ՀՀՌ կարիքների համար տեխնիկայի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h.valadyan@armradio.am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ՀՀՌ կարիքների համար տեխնիկայի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կինոխցիկներ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եռոտանի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ականջակալներ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ականջակալներ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փոխանցման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լիթիումային կուտակիչներ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2026.08.05.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ՀԱՆՐԱՅԻՆ ՌԱԴԻՈԸՆԿԵՐՈՒԹՅՈՒՆ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ՀՀՌ-ԷԱՃԱՊՁԲ-26/12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ՀՀՌ-ԷԱՃԱՊՁԲ-26/12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«ՀՀՌ-ԷԱՃԱՊՁԲ-26/12»*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«ՀՀՌ-ԷԱՃԱՊՁԲ-26/12»*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ՀԱՅԱՍՏԱՆԻ ՀԱՆՐԱՅԻՆ ՌԱԴԻՈԸՆԿԵՐՈՒԹՅՈՒՆ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կինոխցիկներ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Մատրիցայի   տեսակը և չափսը
Մեկշերտ բազմամակարդակ CMOS-սենսոր Exmor RS, տիպը՝ 1.0 դյույմ:
Բարձր լուսազգայունության, կարդալու արագության և աղմուկի ցածր մակարդակի ապահովում։
2. Մատրիցայի թույլատրելիությունը
Էֆեկտիվ պիքսելների քանակը՝ ոչ պակաս, քան 14.0 Մպ:
4K ֆորմատով նկարահանման ժամանակ բարձր դետալիզացիայի ապահովում։
3. Պատկերի մշակման պրոցեսոր
BIONZ XR ներկառուցված արհեստական բանականության (AI processing unit) հատուկ մոդուլով:
Անհրաժեշտ է օբյեկտների ճանաչման և ավտոմատ կադրավորման (auto-framing) ալգորիթմների աշխատանքի համար։
4. Օբյեկտիվի պարամետրերը
Ներկառուցված, օպտիկական զում՝ ոչ պակաս, քան 20խ։ Ֆոկուսային հեռավորության միջակայքը (35 մմ համարժեքով)՝ 24–480 մմ։ Մաքսիմալ դիաֆրագմա՝ f/2.8–f/4.5:
Նկարահանման բազմաֆունկցիոնալություն՝ լայն անկյունից մինչև խորը տելեդիրք։
5. Թվային մեծացում
Clear Image Zoom ֆունկցիա՝ ոչ պակաս, քան 30խ (4K-ում) և ոչ պակաս, քան 40խ (Full HD-ում):
Կադրի մասշտաբավորում՝ առանց պատկերի որակի տեսանելի կորստի։
6. Ներկառուցված ND-ֆիլտր
Էլեկտրոնային փոփոխական ֆիլտր (անընդհատ գործողության՝ 1/4ND-ից մինչև 1/128ND)՝ ավտոմատ կարգավորման ֆունկցիայով
Էքսպոզիցիայի սահուն կառավարում՝ առանց դիաֆրագմայի փոփոխության (Sony-ի արտոնագրված տեխնոլոգիա)։
7. Ավտոֆոկուսի համակարգ
Արագ հիբրիդային ավտոֆոկուս (Fast Hybrid AF)՝ ԱԻ (AI) միջոցով մարդու սիլուետի, գլխի և աչքերի ճանաչման ու հետևման հնարավորությամբ
Ֆոկուսի ճշգրիտ պահում շարժվող օբյեկտի վրա, նույնիսկ եթե օբյեկտը շրջվում է կամ կադրում հայտնվում են արգելքներ։
8. Ձայնագրման ֆորմատներ և կոդեկներ
XAVC S-I, XAVC HS-L, XAVC S-L  կոդեկների աջակցում 
Հետարտադրական (post-production) ստանդարտների համատեղելիության ապահովում։
9. Կադրերի հաճախականություն և գույն
4K (UHD) ձայնագրում մինչև 59.94p/60p (ստանդարտ) և մինչև 119.88p/120p (High Frame Rate ռեժիմում)։ Գունային խորությունը՝ 10-bit 4:2:2
4K թույլատրելիությամբ սահուն դանդաղեցված տեսանյութերի (Slow Motion) ստեղծում՝ գույների խորը մշակմամբ։
10. Գունային  պրոֆիլներ
S-Cinetone, ITU709, 709tone, HLG (Live, Mild) պրոֆիլների առկայություն
Sony Cinema Line կինոխցիկների հետ գունային արագ համադրման համար։
11. Կառավարման օրգաններ
Օբյեկտիվի վրա երկու անկախ օղակների (ֆոկուս/զում) և IRIS-ի ու ND-ֆիլտրի համար երկու առանձին սկավառակների առկայություն
Օպերատորի պրոֆեսիոնալ էրգոնոմիկա՝ էքսպոզիցիայի և կադրի միաժամանակյա կարգավորման համար։
12. Սթրիմինգ և ցանց
Ներկառուցված Wi-Fi (2.4/5 ԳՀց) և Ethernet RJ-45 պորտ, ուղիղ հեռարձակման աջակցում RTMP/RTMPS և SRT արձանագրություններով (protocols)
Ցանցում ուղիղ հեռարձակման հնարավորություն հենց տեսախցիկից՝ առանց արտաքին կոդավորիչների (encoders) օգտագործման։
13. Ինտերֆեյսներ (Միակցիչներ)
Ելք՝ HDMI (Type-A), ձայնային մուտքեր՝ XLR 3-pin (ոչ պակաս, քան 2 հատ), USB Type-C պորտ, Multi/Micro USB (LANC) հեռակառավարման միակցիչ
Չսեղմված 4K ազդանշանի փոխանցում և պրոֆեսիոնալ ձայնային սարքավորումների միացում։
14. Հիշողության քարտերի բնիկներ
Երկու անկախ բնիկ (slots)՝ CFexpress Type A և SDXC (UHS-II) քարտերի աջակցմամբ
Միաժամանակյա կամ հաջորդական հուսալի ձայնագրման ապահովում։
15. Քաշ և չափսեր
Քաշը (առանց լրացուցիչ պարագաների)՝ ոչ ավել, քան 1.95 կգ։ Չափսերը (ԼxԲxԽ)՝ ոչ ավել, քան 176 × 202 × 372 մմ
Երկարատև ձեռքով նկարահանումների ժամանակ շարժունակության ապահովում։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ռեժիսորական հիբրիդային AV տեսամիկշեր
Տեսահամակարգ և ազդանշանի մշակում
Մշակման ֆորմատ: 1080/59.94p, 1080/50p, 1080/29.97p, 1080/25p (ներքին մշակումը՝ 4:2:2, 8-bit):
Տեսամուտքեր (Ֆիզիկական): Ոչ պակաս, քան 6 HDMI (Type A) միակցիչներ: Բոլոր մուտքերը պետք է համալրված լինեն ներկառուցված կադրային սինխրոնիզատորներով և մասշտաբավորողներով (Scalers)՝ միջտողային (interlaced), պրոգրեսիվ և համակարգչային թույլատրելիություններն աջակցելու համար:
Տեսաելքեր (Ֆիզիկական):
Ոչ պակաս, քան 3 HDMI (Type A) միակցիչներ՝ շինաների անկախ նշանակման հնարավորությամբ (PROGRAM, PREVIEW, AUX, MULTI-VIEW):
Ոչ պակաս, քան 1 USB Type-C (USB 3.0) պորտ՝ հոսքը համակարգիչ փոխանցելու համար (UVC/UAC ստանդարտների աջակցում՝ որպես վեբ-տեսախցիկ՝ մինչև 1080/60p թույլատրելիությամբ):
Ոչ պակաս, քան 1 առանձնացված Ethernet (RJ-45) ցանցային պորտ՝ ուղիղ հեռարձակման համար:
2. Տեսաէֆեկտների պրոցեսոր (Տեսամիքսավորում)
Բազմաշերտություն: 5-շերտանի գրաֆիկական միջուկ (engine), որը թույլ է տալիս միաժամանակ արտածել՝ ֆոն (Background), «Պատկերը պատկերում» երկու շերտ (PinP/Key), մեկ DSK (downstream keyer) շերտ և ստատիկ պատկերի/տիտրերի մեկ շերտ:
Քեինգ և գրաֆիկա: Քրոմաքեյի (կանաչ/կապույտ էկրան) և լյումաքեյի ներկառուցված բարձր ճշգրտության ալգորիթմներ: Ներքին հիշողության մեջ ոչ պակաս, քան 16 ստատիկ պատկերների պահպանման աջակցում (BMP, JPEG, PNG ֆորմատներով՝ թափանցիկության ալֆա-կանալի աջակցմամբ):
3. Ներկառուցված ցանցային սթրիմինգ և ձայնագրում
Ուղիղ հեռարձակում (Стриминг): LAN պորտի միջոցով ուղիղ ցանց հեռարձակելու ներկառուցված ապարատային կոդավորիչի առկայություն՝ առանց համակարգչի օգտագործման: Ադապտիվ բիթրեյթով երկու անկախ հոսքերի (հիմնական և պահուստային) միաժամանակյա կոդավորման և հեռարձակման աջակցում:
Ցանցային արձանագրություններ: RTMP, RTMPS և խոտանների նկատմամբ կայուն SRT (Secure Reliable Transport) արձանագրությունների լիարժեք ինտեգրում:
Լոկալ ձայնագրում: SDXC/SDHC հիշողության քարտերի ներկառուցված բնիկ: Օնլայն հեռարձակմանը զուգահեռ՝ եթերի վերջնական (master) տարբերակը MP4 ֆորմատով (H.264 կոդեկ, բիթրեյթը մինչև 20 Մբիթ/վ) ուղիղ ձայնագրելու աջակցում:
4. Աուդիոհամակարգ և ձայնի մշակում
Կանալներ: Ոչ պակաս, քան 28 կանալանի ներքին թվային աուդիոմիկշեր (ներառյալ անալոգային մուտքերը, HDMI, USB և Bluetooth թվային աուդիոուղիները):
Անալոգային կոմուտացիա:
Ոչ պակաս, քան 6 համակցված XLR/TRS մուտքեր անհատական միացվող +48V ֆանտոմային սնուցմամբ և պրոֆեսիոնալ միկրոֆոնային նախաուժեղացուցիչներով:
Ոչ պակաս, քան 1 ստերեոֆոնիկ գծային մուտք՝ RCA (L/R) միակցիչներով:
Ձայնի ելքեր: Ոչ պակաս, քան 2 բալանսային XLR ելք (Main L/R), ոչ պակաս, քան 1 ստերեո RCA ելք, ինչպես նաև ականջակալների ոչ պակաս, քան 2 անկախ ելք (mini-jack 3.5 մմ և jack 6.3 մմ):
Անլար կապ: Ներկառուցված Bluetooth մոդուլ՝ շարժական սարքերից ձայնային ուղեկցում ընդունելու համար:
Մշակման էֆեկտներ: Ներկառուցված էկվալայզերի (EQ), կոմպրեսորի, գեյթի, լիմիտերի, արձագանքի ճնշման (Echo Canceller), ավտոմատ միքսավորման (Auto Mixing) և ձայնի ուշացման (Audio Delay մինչև 500 մվ) առկայություն՝ տեսաազդանշանի հետ սինխրոնիզացիայի համար:
5. Կառավարման ինտերֆեյս և ավտոմատացում
Ֆիզիկական վահանակ: Կանալների ձայնի մակարդակների կառավարման համար ոչ պակաս, քան 8 ֆիզիկական ֆեյդերների առկայություն. ուժեղացման (Gain) կարգավորման առանձին ապարատային բռնակներ, ձայնի անջատման (Mute) և լսման (Cue) կոճակներ:
Կառավարման էկրան: Ներկառուցված գունավոր սենսորային LCD էկրան՝ ոչ պակաս, քան 4.3 դյույմ անկյունագծով՝ տեսաազդանշանների, Multi-view-ի մոնիտորինգի և մենյուի կարգավորումների օպերատիվ փոփոխման համար:
Կամերաների կառավարում (PTZ): VISCA (IP-ով) արձանագրությունների ներկառուցված աջակցում՝ ռոբոտացված PTZ կամերաների հեռակառավարման համար (մինչև 6 հատ միաժամանակ):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LCD մոնիտոր 
Սեղանի հեղուկբյուրեղային մոնիտոր տեսավերահսկման համար: Էկրանի անկյունագիծը՝ ոչ պակաս, քան 23.8 դյույմ: Մատրիցայի տեսակը՝ IPS (հորիզոնական և ուղղահայաց առնվազն 178° դիտման անկյուններ և գույների ճշգրիտ հաղորդում ապահովելու համար): Թույլատրելիությունը՝ 1920х1080 (Full HD), կողմերի հարաբերությունը՝ 16:9: Միացման ինտերֆեյսներ՝ թվային HDMI և DVI-D մուտքերի, ինչպես նաև անալոգային VGA (D-Sub) պորտի առկայություն: Աուդիոհամակարգ՝ ներկառուցված ստերեո բարձրախոսներ (ոչ պակաս, քան 2 x 2 Վտ): Տեսողության պաշտպանության տեխնոլոգիաներ՝ թարթման ճնշում (Flicker-Free) և կապույտ լույսի ֆիլտրման ռեժիմ (LowBlue): Սնուցման բլոկը՝ ներկառուցված: Լրակազմում՝ սնուցման մալուխ, HDMI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եռոտանի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Ածխածնային թելից պատրաստված (կարբոնե) պրոֆեսիոնալ եռոտանի կանգնակ՝ հեղուկային տեսագլխիկով 
Ոտքերի նյութը: Բարձր ամրության ածխածնային թել (Carbon Fiber), 2-փուլանի, 3-սեգմենտանի կոնստրուկցիա:
 Բեռնատարողություն: Առավելագույն աշխատանքային ծանրաբեռնվածությունը՝ ոչ պակաս, քան 10 կգ 
 Տեսագլխիկ: Պրոֆեսիոնալ հեղուկային (Fluid ով (կիսասֆերա)՝ հարթեցման համար:
 Բալանսավորում: Արագ հանվող երկարացված հարթակ՝ սահող մեխանիզմով և ներկառուցված տարազան (уровень):
 Կայունացում: Կարգավորվող միջին տարածիչի (Mid-Level Spreader) առկայություն՝ ոտքերի ամուր ֆիքսման համար:
Հենարաններ: Կրկնակի՝ ռետինե ծայրակալներ (ներսի համար) և ներկառուցված մետաղական սեպեր (դրսի/հողի համար):
Ֆիքսման համակարգ: Ոտքերի սեկցիաների հուսալի լծակային փականներ (Flip Locks):
Քաշ և լրակազմ: Ընդհանուր քաշը՝ ոչ ավել, քան 2.6 կգ: Լրակազմում՝ շտատիվ, գլխիկ, պանորամային բռնակ, տարածիչ, ուսագոտիով խիտ պատյան/պայուսակ: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Գոտկատեղի հաղորդիչով պետլիչկա միկրոֆոնով պրոֆեսիոնալ թվային անլար ռադիոհամակարգ 
Ազդանշանի փոխանցման տեսակը: Լիարժեք թվային անլար ձայնի փոխանցում՝ հաճախականությունների ավտոմատ կառավարմամբ (ազատ ալիքի դինամիկ ընտրություն)։ Համակարգը պետք է ինքնուրույն գտնի ազատ հաճախականություն և խոտանների (помехи) հայտնվելու դեպքում փոխարկվի դրան՝ առանց ձայնային հոսքի ընդհատման:
Աշխատանքային հաճախականությունների տիրույթը: Խիստ 1880–1930 ՄՀց (ազատ լիցենզավորում չպահանջող DECT տիրույթ, որը պաշտպանված է Wi-Fi, Bluetooth ցանցերի, 4G/5G բազային կայանների և UHF հեռուստաաշտարակների խոտաններից):
Տվյալների գաղտնագրում: Ձայնային ազդանշանը չարտոնված գաղտնալսումից պաշտպանելու համար AES-256 ապարատային գաղտնագրման ներկառուցված համակարգի առկայություն:
Ձայնի հաճախականային տիրույթ: 20 Հց-ից մինչև 20 000 Հց:
Դինամիկ միջակայք: Ոչ պակաս, քան 120 դԲ (Ա):
Ոչ գծային աղավաղումների գործակից (THD): Ոչ ավել, քան 0.1%:
Ձայնային ազդանշանի ուշացում (Latency): Ոչ ավել, քան 19 մվ:
1. Տեսախցիկի վրա տեղադրվող ռադիոընդունիչ (Receiver)
Կոնստրուկտիվ կատարումը: Գերկոմպակտ թեթևացված կորպուս՝ ինտեգրված պտտվող հոդակապային XLR (male) միակցիչով, որը միանում է ուղիղ տեսախցիկի կամ AV միկշերի աուդիոմուտքին: Կոնստրուկցիան պետք է թույլ տա պտտել ընդունիչը XLR միակցիչի շուրջ՝ տեսախցիկի հարևան ինտերֆեյսների արգելափակումից խուսափելու համար:
Սնուցման ավտոմատացում: Մարտկոցի լիցքը տնտեսելու համար տեսախցիկից ֆանտոմային սնուցման (+48V) տրման հետ սինխրոն ընդունիչի ավտոմատ միացման և անջատման ֆունկցիայի առկայություն:
Ազդանշանի մակարդակի կառավարում: Ուժեղացման ավտոմատ օպտիմալացման ֆունկցիա (Auto Dynamic Range) — համակարգը պետք է ինքնուրույն կարգավորի ընդունիչի զգայունությունը խոսնակի ձայնի մակարդակին համապատասխան՝ բացառելով գերբեռնվածությունը (clipping) կամ չափազանց ցածր ձայնը:
Ընդունիչի քաշը: Ոչ ավել, քան 90 գրամ (ներառյալ սնուցման էլեմենտը):
2. Գոտկատեղի հաղորդիչ (Bodypack Transmitter)
Կոնստրուկցիան և ինտերֆեյսը: Կոմպակտ էրգոնոմիկ կորպուս՝ գոտուն կամ հագուստի տարրերին ֆիքսելու համար ամուր մետաղական ամրակով (clip):
Աուդիոմուտք: 3.5 մմ mini-jack միակցիչ՝ ֆիքսող պարուրակով (Locking Jack)՝ միկրոֆոնի մալուխի պատահական դուրս պոկվելը կանխելու համար:
Կառավարում: Ձայնի արագ անջատման (Mute) կոճակ և զուգակցման (Pairing) կոճակ: Կապի կարգավիճակի և մարտկոցի լիցքի մակարդակի հայտանիշի առկայություն:
3. Լավալիե (Պետլիչկա) միկրոֆոն
Կապսուլի տեսակը: Կոնդենսատորային (էլեկտրետային):
Ուղղվածության դիագրամ: Ամենաուղղված (Omni-directional)՝ խոսնակի գլխի շրջադարձերի ժամանակ ձայնի կայուն ֆիքսում ապահովելու համար:
Առավելագույն ձայնային ճնշում: Ոչ պակաս, քան 130 դԲ:
Զգայունություն: Ոչ պակաս, քան 20 մՎ/Պա: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միկրոֆոն-հաղորդիչով պրոֆեսիոնալ թվային անլար ռադիոհամակարգ 
Ազդանշանի փոխանցման տեսակը: Լիարժեք թվային անլար ձայնի փոխանցում՝ հաճախականությունների ավտոմատ դինամիկ կառավարմամբ (համակարգն ինքնուրույն գտնում է ազատ ալիք և խոտանների հայտնվելու դեպքում ակնթարթորեն փոխարկվում է դրան՝ առանց հեռարձակման ընդհատման):
Աշխատանքային հաճախականությունների տիրույթը: Խիստ 1880–1930 ՄՀց (լիցենզավորում չպահանջող ազատ DECT տիրույթ, որը պաշտպանված է Wi-Fi, Bluetooth ցանցերի, 4G/5G բազային կայանների և եթերային հեռուստատեսության խոտաններից):
Տվյալների գաղտնագրում: Ձայնային հոսքը չարտոնված գաղտնալսումից պաշտպանելու համար AES-256 ալգորիթմով ապարատային գաղտնագրման ներկառուցված համակարգի առկայություն:
Ձայնի հաճախականային տիրույթ: 50 Հց-ից մինչև 20 000 Հց:
Դինամիկ միջակայք: Ոչ պակաս, քան 120 դԲ (Ա):
Ոչ գծային աղավաղումների գործակից (THD): Ոչ ավել, քան 0.1%:
Ձայնային ազդանշանի ուշացում (Latency): Ոչ ավել, քան 19 մվ:
1. Տեսախցիկի վրա տեղադրվող ռադիոընդունիչ (Receiver)
Կոնստրուկտիվ կատարումը: Գերկոմպակտ թեթևացված կորպուս՝ ինտեգրված պտտվող հոդակապային XLR (male) միակցիչով, որը միանում է ուղիղ տեսախցիկի կամ AV միկշերի աուդիոմուտքին: Կոնստրուկցիան պետք է ապահովի ընդունիչի ազատ պտույտը XLR միակցիչի շուրջ՝ տեսախցիկի հարևան ինտերֆեյսների արգելափակումից խուսափելու համար:
Սնուցման ավտոմատացում: Մարտկոցի լիցքը տնտեսելու համար տեսախցիկից ֆանտոմային սնուցման (+48V) տրման հետ սինխրոն ընդունիչի ավտոմատ միացման և անջատման ֆունկցիայի առկայություն:
Ազդանշանի մակարդակի կառավարում: Ուժեղացման ավտոմատ օպտիմալացման ներկառուցված համակարգ (Auto Dynamic Range)՝ խոսնակի ձայնի մակարդակը հարթեցնելու և գերբեռնվածությունից (clipping) պաշտպանելու համար:
Ընդունիչի քաշը: Ոչ ավել, քան 90 գրամ (ներառյալ սնուցման էլեմենտը):
2. Ձեռքի միկրոֆոն-հաղորդիչ (Handheld Transmitter)
Միկրոֆոնային կապսուլի տեսակը: Դինամիկ։ Կոնստրուկցիան պետք է աջակցի միկրոֆոնային գլխիկների (կապսուլների) արագ փոխարինման հնարավորությանը:
Ուղղվածության դիագրամ: Կարդիոիդային (Cardioid)՝ աղմկոտ վայրերում ռեպորտաժների ժամանակ ֆոնային աղմուկը արդյունավետորեն կտրելու և հետադարձ կապը (acoustic feedback) ճնշելու համար:
Կապսուլի զգայունություն: Ոչ պակաս, քան 2.1 մՎ/Պա:
Առավելագույն ձայնային ճնշում: Ոչ պակաս, քան 154 դԲ:
Կառավարում և հայտանիշներ: Կորպուսի վրա ձայնի անջատման (Mute) մեխանիկական փոխարկիչի առկայություն: Ներկառուցված էկրանի կամ լուսադիոդային հայտանիշի առկայություն՝ կապի կարգավիճակը և մարտկոցի մնացորդային լիցքը վերահսկելու համար:
3. Սնուցում 
Սնուցման համակարգ: Ընդունիչի և ձեռքի հաղորդիչի սնուցումն իրականացվում է շարժական վերալիցքավորվող լիթիում-իոնային (Li-Ion) մարտկոցներից՝ ներկառուցված USB / USB Type-C պորտերով լիցքավորվելու հնարավորությամբ: Ինքնավար աշխատանքի ժամանակը․ ընդունիչինը՝ ոչ պակաս, քան 4 ժամ, ձեռքի միկրոֆոնինը՝ ոչ պակաս, քան 15 ժամ: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տիպի պրոֆեսիոնալ մոնիտորային ականջակալ 
Կոնստրուկցիան և տեսակը: Լիաչափ (Over-Ear) փակ ակուստիկ տիպի ականջակալ՝ ձայնի բարձր մեկուսացում ապահովելու համար: Գլխակալի կոնստրուկցիան՝ ծալվող՝ տեղափոխման հարմարավետության համար:
Ճառագայթիչի (Driver) տեսակը: Դինամիկ, մեմբրանի տրամագիծը՝ ոչ պակաս, քան 40 մմ: Հզոր նեոդիմումային մագնիսների օգտագործում՝ ձայնի բարձր դետալիզացիա ապահովելու համար:
Հաճախականությունների միջակայք: Լայն հաճախականային տիրույթ՝ 10 Հց-ից մինչև 20,000 Հց՝ ձայնային հաճախականությունների ամբողջ սպեկտրի ճշգրիտ վերահսկման համար:
Դիմադրություն (Իմպեդանս): Անվանական դիմադրությունը՝ 63 Օմ (ապահովում է համատեղելիություն ինչպես պրոֆեսիոնալ AV միկշերների, այնպես էլ տեսախցիկների ականջակալների ելքերի հետ):
Զգայունություն: Ոչ պակաս, քան 106 դԲ/մՎտ:
 Առավելագույն հզորություն: Մուտքային հզորությունը՝ ոչ պակաս, քան 1000 մՎտ:
Մալուխ: Պարուրաձև (спиральный) բարձր ամրության միակողմանի մալուխ: Երկարությունը ձգված վիճակում՝ ոչ պակաս, քան 3 մետր:
Միակցիչներ: Ոսկեզօծ 3.5 մմ շտեկեր (mini-jack)՝ լրակազմում հուսալի պարուրակային (резьбовой) 6.3 մմ ադապտերով (jack):
Լրակազմ: Ականջակալ, 6.3 մմ պարուրակային ադապտեր, պահպանման համար փափուկ պատյան/պայուսակ: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տիպի վրադիր (накладные) մոնիտորային ականջակալ 
Կոնստրուկցիան և տեսակը: Վրադիր (On-Ear) փակ ակուստիկ տիպի ականջակալ՝ արտաքին աղմուկից պաշտպանվելու համար: Ծալվող բաժակային կոնստրուկցիա (բաժակները ծալվում են գլխակալի ներսում)՝ բարձր շարժունակության համար:
Ճառագայթիչի (Driver) տեսակը: Դինամիկ, գմբեթաձև մեմբրանի տրամագիծը՝ ոչ պակաս, քան 30 մմ:
Մագնիսական համակարգ: Ֆերիտային կամ նեոդիմումային մագնիսների օգտագործում՝ հավասարակշռված հնչողություն ապահովելու համար:
Հաճախականությունների միջակայք: 12 Հց-ից մինչև 22,000 Հց՝ խոսքի և ֆոնային ձայնի հստակ վերարտադրման համար:
Դիմադրություն (Իմպեդանս): Անվանական դիմադրությունը՝ 24 Օմ (օպտիմալացված է տեսախցիկների և գոտկատեղի ռադիոընդունիչների փոքր հզորությամբ ելքերի համար):
Զգայունություն: Ոչ պակաս, քան 98 դԲ/մՎտ:
 Մալուխ: Երկկողմանի Y-աձև բարձր ամրության մալուխ: Մալուխի երկարությունը՝ ոչ պակաս, քան 1.2 մետր:
Միակցիչ: Ոսկեզօծ L-աձև (անկյունային) 3.5 մմ շտեկեր (mini-jack)՝ գոտկատեղի սարքավորումներին միացնելիս մալուխի կոտրվելը կանխելու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արտադրողականությամբ նոութբուք 
Պրոցեսոր (CPU): Core 7 240H: Միջուկների քանակը՝ 10 (6 արտադրողական P-միջուկ և 4 էներգախնայող E-միջուկ): Հոսքերի քանակը՝ 16: Առավելագույն տակտային հաճախականությունը Turbo Boost ռեժիմում՝ ոչ պակաս, քան 5.2 ԳՀց: Կեշ-հիշողությունը՝ ոչ պակաս, քան 24 ՄԲ: Արհեստական բանականության ներկառուցված մոդուլի (Intel AI Boost) պարտադիր առկայություն:
 Տեսաքարտ (GPU): Դյուրակիր համակարգիչների համար նախատեսված դիսկրետ գրաֆիկական ուժեղացուցիչ NVIDIA GeForce RTX 5060: Սեփական տեսահիշողության ծավալը՝ ոչ պակաս, քան 8 ԳԲ՝ ամենանոր GDDR7 ստանդարտի: Առավելագույն Boost հաճախականությունը՝ ոչ պակաս, քան 1455 ՄՀց, առավելագույն էներգասպառումը (TGP)՝ ոչ պակաս, քան 55 Վտ: Ճառագայթների հետագծման (Ray Tracing), DLSS տեխնոլոգիաների և նոր սերնդի տենզորային միջուկների աջակցում:
Օպերատիվ հիշողություն (RAM): Ծավալը՝ ոչ պակաս, քան 16 ԳԲ (թույլատրվում է 2x8 ԳԲ կոնֆիգուրացիա): Հիշողության տեսակը՝ DDR5: Տակտային հաճախականությունը՝ ոչ պակաս, քան 5600 ՄՀց: 2 հատ SO-DIMM բնիկների առկայություն՝ հիշողությունը մինչև 96 ԳԲ ընդլայնելու հնարավորությամբ:
Կուտակիչ (Storage): M.2 SSD NVMe տիպի բարձր արագության կոշտ կուտակիչ, որն աշխատում է PCIe Gen4 շինայով: Տարողությունը՝ ոչ պակաս, քան 1000 ԳԲ (1 ՏԲ):
Էկրան: Անկյունագիծը՝ 15.6 դյույմ, կողմերի հարաբերությունը՝ 16:9: Մատրիցայի տեսակը՝ IPS կամ IPS-Level: Թույլատրելիությունը՝ 1920х1080 (Full HD): Էկրանի թարմացման հաճախականությունը՝ ոչ պակաս, քան 144 Հց՝ դինամիկ կոնտենտի սահուն պատկերման համար: Ծածկույթը՝ անփայլ հակացոլքային:
Ինտերֆեյսներ և ցանցային պորտեր:
Լարային ցանց՝ ֆիզիկական RJ45 (Gigabit LAN) պորտ՝ ստաբիլ սթրիմինգի համար:
Անլար ցանց՝ ներկառուցված Wi-Fi 6E (802.11ax) մոդուլ և Bluetooth՝ 5.3-ից ոչ ցածր տարբերակի:
Տեսաելք՝ 1 x HDMI 2.1՝ 4K @ 60Hz ֆորմատով ազդանշանի արտածման աջակցմամբ:
USB միակցիչներ՝ ոչ պակաս, քան 2 պորտ USB 3.2 Gen2 Type-A. ոչ պակաս, քան 1 պորտ USB 3.2 Gen2 Type-C՝ DisplayPort այլընտրանքային ռեժիմի և Power Delivery 3.0 երկկողմանի արագ լիցքավորման աջակցմամբ:
Աուդիոմիակցիչ՝ 1 x համակցված Mic-in/Headphone-out Combo Jack:
Կորպուս և հովացում: Կորպուսի տարրերի կիսաթափանցիկ դիզայն (Translucent Black): Սարքի քաշը մարտկոցի հետ միասին՝ ոչ ավել, քան 2.1 կգ, կորպուսի հաստությունը՝ ոչ ավել, քան 23 մմ: Ֆիրմային հովացման համակարգ՝ կենտրոնական և գրաֆիկական պրոցեսորների համար ընդհանուր ջերմային խողովակով (Shared-Pipe):
 Ստեղնաշար և մուլտիմեդիա: Լիաչափ ստեղնաշար՝ առանձնացված թվային բլոկով (Number-pad) և 4-գոտիանի RGB լուսավորությամբ: Ներկառուցված վեբ-կամերա HD (720p @ 30fps)՝ եռաչափ աղմուկի ճնշմամբ (3DNR): Ստերեո բարձրախոսներ 2 x 2 Վտ՝ High-Resolution Audio-ի աջակցմամբ:
 Սնուցում: Ներկառուցված 4-սեգմենտանի մարտկոց՝ ոչ պակաս, քան 55.2 Վտ·ժ հզորությամբ: Համալրվում է օրիգինալ սնուցման բլոկով՝ ոչ պակաս, քան 120 Վտ հզորությամբ: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փոխանցման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4K HDMI անլար տեսաազդանշանի փոխանցման համակարգ 
Հաղորդիչի միակցիչներ: HDMI 1.4 մուտք, HDMI Loop-out անցումային ելք, USB-C պորտ (UVC՝ վեբ-կամերայի ռեժիմի համար):
Ընդունիչի միակցիչներ: Ոչ պակաս, քան 2 անկախ HDMI 1.4 ելք՝ ազդանշանը միաժամանակ արտածելու համար:
Աջակցվող թույլատրելիություն: Գերբարձր հստակության տեսանյութի փոխանցում մինչև 4K (3840x2160)՝ 30 կադր/վ և Full HD 1080p:
Գործողության հեռավորությունը: Ազդանշանի հուսալի փոխանցում ոչ պակաս, քան 400 մետր՝ ուղիղ տեսանելիության պայմաններում (LOS):
Ազդանշանի ուշացում: Տվյալների փոխանցման գերցածր ուշացում՝ ոչ ավել, քան 0.06 վայրկյան:
Աշխատանքային հաճախականություններ: Միաժամանակյա աշխատանք 2.4 ԳՀց և 5 ԳՀց տիրույթներում՝ խոտանների ավտոմատ շրջանցմամբ (Auto-Hopping):
Հեռարձակման ռեժիմներ: 1 հաղորդիչից միաժամանակ 4 ընդունիչի վրա ազդանշանի փոխանցում (Broadcast Mode) + մոնիտորինգ սմարթֆոններով Wi-Fi-ով:
Սնուցում (3 տարբերակ): Sony NP-F սերիայի մարտկոցներից, DC մուտքից (7–16 Վ) կամ ունիվերսալ USB-C (5V/2A) պորտից:
Կոնստրուկցիա: Յուրաքանչյուր մոդուլի վրա LCD էկրանի առկայություն, շարժական RP-SMA անտենաներ, մեկ բլոկի քաշը՝ ոչ ավել, քան 240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վրա տեղադրվող լուսադիոդային լուսավորման սարք 
Սարքի տեսակը և չափսերը: Տեսախցիկի վրա տեղադրվող պրոֆեսիոնալ LED լուսավորման սարք՝ ուլտրապատյան և թեթև կորպուսով (կորպուսի հաստությունը՝ ոչ ավել, քան 22 մմ, քաշը առանց մարտկոցի՝ ոչ ավել, քան 360 գ):
Ճառագայթիչների տեսակը: Ներկառուցված ցրող անփայլ (матовый) լուսաֆիլտրի (սոֆթ-վահանակի) առկայություն, որն ամբողջությամբ թաքցնում է առանձին լուսադիոդային կետերը՝ փափուկ, առանց ստվերների լրացնող լույս ստանալու համար:
Լուսադիոդների քանակը: SMD-լուսադիոդների ընդհանուր քանակը՝ ոչ պակաս, քան 96 հատ (դրանցից ոչ պակաս, քան 48 հատ՝ 3200K և ոչ պակաս, քան 48 հատ՝ 5500K ջերմաստիճանով):
Գունային ջերմաստիճան: Կարգավորվող, 3200K-ից մինչև 5500K միջակայքում տաք և սառը դիոդների առանձին կարգավորման հնարավորությամբ:
Լուսավորման անկյունը: Լուսային հոսքի լայն անկյուն՝ ոչ պակաս, քան 110 աստիճան:
Լուսային հոսք / Հզորություն: Լուսային հոսքը՝ ոչ պակաս, քան 2000 Լյումեն, առավելագույն ելքային հզորությունը՝ ոչ պակաս, քան 18 Վտ:
 Կառավարում և հայտանիշներ: Ետևի վահանակի վրա թվային LED էկրանի առկայություն՝ ընթացիկ պայծառությունը, գունային ջերմաստիճանը և մարտկոցի լիցքի մակարդակը ցուցադրելու համար: Կառավարումը՝ պտտվող էնկոդերի միջոցով՝ արագ (Fine) և ճշգրիտ կարգավորման ռեժիմների աջակցմամբ:
Սնուցում: Կրկնակի սնուցման համակարգ՝ Sony NP-F սերիայի (NP-F550/750/970) լիթիում-իոնային մարտկոցից կամ հաստատուն հոսանքի արտաքին ցանցային ադապտերից՝ 8V / 5A:
 Լրակազմ: Լուսադիոդային լուսավորման սարք, բռնակ-նասադկա՝ ձեռքում պահելու համար, պլաստիկ տակդիր՝ հարթ մակերևույթի վրա տեղադրելու համար, պատյան պահպանման և տեղափոխման համար, հոդակապային ամրակ՝ ստանդարտ «cold shoe» միակցիչով և 1/4" պարուրակով (резьба)՝ տեսախցիկի կամ կանգնակի (стойка) վրա ֆիքսելու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լիթիումային կուտակիչներ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հզորության մարտկոց 
Համատեղելիություն: Լիարժեք տեխնիկական համատեղելիություն Sony HXR-NX800 տեսախցիկի սնուցման համակարգի հետ։
Էլեմենտի տեսակը: Լիթիում-իոնային (Li-Ion)։
Հզորություն: Ոչ պակաս, քան 72 Վտ·ժ (ոչ պակաս, քան 5000 մԱժ)։
Անվանական լարում: Խիստ 14.4 Վ։
Ինֆո-ֆունկցիա: Ներկառուցված միկրոպրոցեսորի առկայություն՝ լիցքի ճշգրիտ տվյալները (%-ով և րոպեներով) տեսախցիկի էկրանին փոխանցելու համար։
Հայտանիշ կորպուսի վրա: Ներկառուցված 4-սեգմենտային լուսադիոդային (LED) լիցքի մակարդակի հայտանիշ։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պայմանագիրը կնքելուց հետո ֆինանսական միջոցներ նախատեսվելու դեպքում կողմերի միջև կնքվող համաձայնագիրն ուժի մեջ մտնելուց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պայմանագիրը կնքելուց հետո ֆինանսական միջոցներ նախատեսվելու դեպքում կողմերի միջև կնքվող համաձայնագիրն ուժի մեջ մտնելուց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պայմանագիրը կնքելուց հետո ֆինանսական միջոցներ նախատեսվելու դեպքում կողմերի միջև կնքվող համաձայնագիրն ուժի մեջ մտնելուց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պայմանագիրը կնքելուց հետո ֆինանսական միջոցներ նախատեսվելու դեպքում կողմերի միջև կնքվող համաձայնագիրն ուժի մեջ մտնելուց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պայմանագիրը կնքելուց հետո ֆինանսական միջոցներ նախատեսվելու դեպքում կողմերի միջև կնքվող համաձայնագիրն ուժի մեջ մտնելուց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պայմանագիրը կնքելուց հետո ֆինանսական միջոցներ նախատեսվելու դեպքում կողմերի միջև կնքվող համաձայնագիրն ուժի մեջ մտնելուց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պայմանագիրը կնքելուց հետո ֆինանսական միջոցներ նախատեսվելու դեպքում կողմերի միջև կնքվող համաձայնագիրն ուժի մեջ մտնելուց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պայմանագիրը կնքելուց հետո ֆինանսական միջոցներ նախատեսվելու դեպքում կողմերի միջև կնքվող համաձայնագիրն ուժի մեջ մտնելուց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պայմանագիրը կնքելուց հետո ֆինանսական միջոցներ նախատեսվելու դեպքում կողմերի միջև կնքվող համաձայնագիրն ուժի մեջ մտնելուց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պայմանագիրը կնքելուց հետո ֆինանսական միջոցներ նախատեսվելու դեպքում կողմերի միջև կնքվող համաձայնագիրն ուժի մեջ մտնելուց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պայմանագիրը կնքելուց հետո ֆինանսական միջոցներ նախատեսվելու դեպքում կողմերի միջև կնքվող համաձայնագիրն ուժի մեջ մտնելուց հետո 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պայմանագիրը կնքելուց հետո ֆինանսական միջոցներ նախատեսվելու դեպքում կողմերի միջև կնքվող համաձայնագիրն ուժի մեջ մտնելուց հետո 45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