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ք.Մասիս, Մ.Հերացու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ՓԲԸ-ի կարիքների համար ՄԲԿ-ԷԱՃԱՊՁԲ-26/55 ծածկագրով դեղորայքի, բժշկական պարագաների և լաբորատոր նյութերի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ՄԱՍԻՍԻ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ՄԱՍԻՍԻ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ՄԱՍԻՍԻ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Մասիսի բժշկական կենտրոն ՓԲԸ-ի կարիքների համար ՄԲԿ-ԷԱՃԱՊՁԲ-26/55 ծածկագրով դեղորայքի, բժշկական պարագաների և լաբորատոր նյութերի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ՄԱՍԻՍԻ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Մասիսի բժշկական կենտրոն ՓԲԸ-ի կարիքների համար ՄԲԿ-ԷԱՃԱՊՁԲ-26/55 ծածկագրով դեղորայքի, բժշկական պարագաների և լաբորատոր նյութերի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Մասիսի բժշկական կենտրոն ՓԲԸ-ի կարիքների համար ՄԲԿ-ԷԱՃԱՊՁԲ-26/55 ծածկագրով դեղորայքի, բժշկական պարագաների և լաբորատոր նյութերի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G 1մլն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(կետամինի հիդրոքլորիդ) 500մգ/10մլ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 ցետալկոնիումի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0,1 %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պատվաստանյութ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հիդրոքլորիդ 20մգ/մլ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0.5%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ոչ ստերիլ L  /Նիտրիլ/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մեկանգամյա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սավաններ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խտանյութ ՝ նախատեսված բժշկական նշանակության գործիքների, էնդոսկոպների՝  ախտահանման, նախամանրէազերծումային  և էնզիմատիկ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ՄԱՍԻՍԻ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ՄԲԿ-ԷԱՃԱՊՁԲ-26/55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ՄԲԿ-ԷԱՃԱՊՁԲ-26/55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4․3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G 1մլն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(բենզիլպենիցիլին նատրիում) benzylpenicillin (benzylpenicillin sodium) դեղափոշի ներարկման լուծույթի 1000000ՄՄ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(ատրոպինի սուլֆատ) atropine (atropine sulfate) ակնակաթիլ 10մգ/մլ Ատրոպին (ատրոպինի սուլֆատ) atropine (atropine sulfate) ակնակաթիլ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դեղապատիճներ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(կետամինի հիդրոքլորիդ) 500մգ/10մլ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ketamine  լուծույթ ներարկման, 500մգ/10մլ,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(թիոպենտալ նատրիում) thiopental (thiopental sodium), դեղափոշի լիոֆիլիզացված, ն/ե 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թիմոլոլ pilocarpine , timolol ակնակաթիլ 20մգ/մլ+5մգ/մլ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 ցետալկոնիումի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սալիցիլատ,ցետալկոնիումի քլորիդ  դոնդող, 87.1մգ/գ+0.1մգ/գ, 10գ ալյումինե պարկուճ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թթվածին, գազ, թթվածնի պարունակությունը 95%-ից ոչ պակաս, 40լ. Փորձաքննություն անցած բալոններով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0,1 %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քթի ցողիչ 0.01%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պատվաստանյութ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3000ԱՄ 1մլ Գնման առարկայի որակական տվյալները, չափերը հեղուկ, AC –անատոքսինը կազմված է զտված հակափայտացման անատոքսինից, որը ադսորբաց ված է ալյումինիումի հիդրօքսի դի դոնդողի հիման վրա : Պատ վաստանյութի մեկ դեղաչափը 0,5մլ, պարունակում է հակա փայտացման անատոքսին նին կապող 10 միավոր, սորբենտ- ալյումինիումի հիդրօքսիդ (0,25–0,55 մգ / մլ), կոնսերվանտ- մեր տիոլատ` 0,05մգ/մլ: 1 սրվակը պարունակում է 1մլ հակափայ տացման անատոքսին յուրաքանչյուրում պատվաստում ների 2-ական դեղաչափով: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հիդրոքլորիդ 20մգ/մլ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chloropyramine լուծույթ ներարկման 20մգ/մլ,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տուղտ դեղատու դեղահատեր 50մգ, ստրիպում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դեղահատեր 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լուծույթ ներարկման 2850 ՄՄ Axa/0.3մլ, 0.3մլ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0.5% 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(բուպիվակայինի հիդրոքլորիդ) bupivacaine (bupivacaine hydrochloride), լուծույթ ներարկման, 5մգ/մլ,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ոչ ստերիլ L  /Նիտրիլ/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միանվագ օգտագործման, նիտրիլից, ոչ ստերիլ, առանց տալկի, L չափսի՝ որակյալ:
Մատակարարողը պետք է ներկայացնի խմբաքանակի համար իրականացված փորձաքննության սերտիֆիկատ կամ այդ տվյալները պետք է ներկայացված լինեն արտադրողի պաշտոնական փաստաթղթերում: Տուփը պետք է լինի մակնշված և պարունակի արտադրողի մասին տեղեկությունները: Որակի սերտիֆիկատի առկայություն։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ռուլոնի /թախտայի համար/ 50սմx50մ: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սավաններ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սավաններ 60*60 մեկանգամյա օգտագործման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խտանյութ ՝ նախատեսված բժշկական նշանակության գործիքների, էնդոսկոպների՝  ախտահանման, նախամանրէազերծումային  և էնզիմատիկ մաքրման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իրենից ներկայացնում է կանաչ գույնի, բուրանյութի հոտով թափանցիկ հեղուկ խտանյութ: Որպես ազդող նյութեր` պարունակում է N,N-դիդեցիլ-N-մեթիլ-պոլի(օքսիէթիլ) ամոնիումի պրոպիոնատ (ՉԱՄ), դիդեցիլ դիմեթիլ ամոնիումի քլորիդ (ՉԱՄ), ֆերմենտների համալիր (լիպազա, ալֆա-ամիլազա, պրոտեազա), ինչպես նաև ֆունկցիոնալ բաղադրամասեր՝ ՄԱՆ (մակերեսային ակտիվ նյութեր),  ներկանյութ, բուրանյութ, ջուր և այլն: Ներկայացվող ապրանքը պետք է պարունակի նաև կոռոզիայի ինհիբիտորներ (կազմի մեջ կոռոզիոն ինհիբիտորի առկայությունը պետք է հաստատվի օգտագործման հրահանգով):
Առաջարկվող ախտահանիչ նյութը իր բաղադրությունում չպետք է պարունակի որպես ակտիվ բաղադրիչներ քլոր, ալկոհոլ:
Փաթեթավորումը- 1լիտր կամ այլ ծավալի  պոլիէթիլենային տարա համապատասխան չափիչ բաժակով:                          
1լիտր խտանյութից պատրաստվի մինչև 0,5%-անոց, ոչ պակաս , քան  200 լիտր  աշխատանքային լուծույթ, որը կապահովի հակաբակտերիալ ՝գրամդրական և գրամբացասական մանրէների (ներառյալ՝ տուբերկուլյոզի միկոբակտերիաները),  հակավիրուսային (ներառյալ արտաընդերային հեպատիտները, ՄԻԱՎ-վարակը, պոլիոմիելիտը), A գրիպի H5N1, H1N1տեսակները) և հակասնկային (այդ թվում` կանդիդա և դերմատոֆիտիա, բորբոսասնկեր) ազդեցությունը մինչև 5-30 րոպեում (ինչը հաստատված լինի ՀՀ Առողջապահության նախարարության կողմից հաստատված  մեթոդական հրահանգներով), ինչպես նաև օժտված լինի ակտիվությամբ հատուկ վտանգավոր վարակների (ժանտախտի, խոլերայի, տուլարեմիայի, լեգիոնելոզի) հարուցիչների նկատմամբ:  :   
Աշխատանքային լուծույթի պատրաստման համար պահանջվող ջերմաստիճանը պետք է լինի՝ ոչ պակաս քան 15C-ից մինչև ոչ ավել քան 25C-ը:
Աշխատանքային լուծույթի պիտանելիությունը   լինի 10 օր-ից ոչ պակաս, նախատեսված  բազմակի օգտագործման համար:  Մատակարարման պահին խտանյութի ժամկետի 1/2-ի առկայություն                                                                                                                       
Ախտահանիչ նյութի pH - 7,8-8,8:
Վերջնական օգտագործման համար ստացվող ախտահանիչ նյութի աշխատանքային լուծույթի արժեքը ստանալու համար, հաշվարկները կատարվելու են համաձայն ՀՀ Առողջապահության նախարարության կողմից հաստատված  համապատասխան մեթոդական հրահանգների և ՀՀ-ում գործող սանիտարական նորմերի՝ հիմք ընդունելով հակաբակտերիալ (ներառյալ տուբերկուլյոզը), հակավիրուսային և  հակասնկային ախտահանման ռեժիմները:
Վտանգավորության աստիճանը- 4-րդ, 5-րդ դաս: 
Ունենա որակի հավաստագիր,  ՀՀ ԱՆ  օգտագործման մեթոդական հրահանգ,  պետք է երաշխավորված լինի կամ Storz, կամ Olympus, կամ Fujinon, կամ Pentex բժշկական սարքավորումներ արտադրող ընկերությունների կողմից՝ նյութի պատճառով սարքավորման խափանումից խուսափելու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պատրաստված պոլիդիօքսանոն նյութից 
26-28 մմ 1/2 կորությամբ ծակող ասեղով։ Թելի 
հաստությունը 2/0 երարությունը ոչ պակաս քան
 75 սմ, թելը լինի ջոնսոն, բրաուն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պատրաստված պոլիդիօքսանոն նյութից 
24-26 մմ 1/2 կորությամբ ծակող ասեղով։ Թելի 
հաստությունը 3/0 երարությունը ոչ պակաս քան
 75 սմ, թելը լինի ջոնսոն, բրաուն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պատրաստված պոլիդիօքսանոն նյութից 
13-15 մմ 3/8 կորությամբ ծակող ասեղով։ Թելի 
հաստությունը 5/0 երարությունը ոչ պակաս քան
 60 սմ, թելը լինի ջոնսոն, բրաուն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պատրաստված պոլիդիօքսանոն նյութից 
25-30 մմ 1/2 կորությամբ ծակող ասեղով։ Թելի 
հաստությունը 3/0 երարությունը ոչ պակաս քան
 75 սմ, թելը լինի ջոնսոն, բրաուն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պատրաստված պոլիդիօքսանոն նյութից 
24-26 մմ 3/8 կորությամբ ծակող ասեղով։ Թելի 
հաստությունը 4/0 երարությունը ոչ պակաս քան
 75 սմ, թելը լինի ջոնսոն, բրաուն կամ համարժեք։"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