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ՀՀԱՄՄՀ-ԷԱՃԱՊՁԲ-26/137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բենզինի ձեռքբերման նպատակով ՀՀԱՄՄՀ-ԷԱՃԱՊՁԲ-26/137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ՀՀԱՄՄՀ-ԷԱՃԱՊՁԲ-26/137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բենզինի ձեռքբերման նպատակով ՀՀԱՄՄՀ-ԷԱՃԱՊՁԲ-26/137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բենզինի ձեռքբերման նպատակով ՀՀԱՄՄՀ-ԷԱՃԱՊՁԲ-26/137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ՀՀԱՄՄՀ-ԷԱՃԱՊՁԲ-26/137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բենզինի ձեռքբերման նպատակով ՀՀԱՄՄՀ-ԷԱՃԱՊՁԲ-26/137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2026.08.10.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ՀՀԱՄՄՀ-ԷԱՃԱՊՁԲ-26/137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ՀՀԱՄՄՀ-ԷԱՃԱՊՁԲ-26/137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«ՀՀԱՄՄՀ-ԷԱՃԱՊՁԲ-26/137»*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«ՀՀԱՄՄՀ-ԷԱՃԱՊՁԲ-26/137»*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ՄԵԾԱՄՈՐԻ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Կտրոնները ուժի մեջ պետք է լինեն մինչև 31․12․26թ․։ Պարտադիր պայման է, որ լիցքավորման կետերը գտնվեն Մեծամորի համայնքապետարանից առավելագույնը 8 կմ հեռավորության վրա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Մեծամոր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 հետո (բացառությամբ այն դեպքի, երբ ընտրված մասնակիցը համաձայնվում է պայմանագիրը կատարել ավելի կարճ ժամկետում), մինչև 30.12.2026 թ. ներառյալ ընկած ժամանակահատվածում: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