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ԳԻՏԱԿԱՆ ՄԱՍԻ ԿԱՐԻՔՆԵՐԻ ՀԱՄԱՐ ՀԱՊՀ-ԷԱԱՊՁԲ-26/30 ԾԱԾԿԱԳՐՈՎ ՀԱՄԱԿԱՐԳՉԱՅԻՆ ՏԵԽՆԻԿԱՅԻ ԵՎ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l.avetisyan@polytechnic.am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ԳԻՏԱԿԱՆ ՄԱՍԻ ԿԱՐԻՔՆԵՐԻ ՀԱՄԱՐ ՀԱՊՀ-ԷԱԱՊՁԲ-26/30 ԾԱԾԿԱԳՐՈՎ ՀԱՄԱԿԱՐԳՉԱՅԻՆ ՏԵԽՆԻԿԱՅԻ ԵՎ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ԳԻՏԱԿԱՆ ՄԱՍԻ ԿԱՐԻՔՆԵՐԻ ՀԱՄԱՐ ՀԱՊՀ-ԷԱԱՊՁԲ-26/30 ԾԱԾԿԱԳՐՈՎ ՀԱՄԱԿԱՐԳՉԱՅԻՆ ՏԵԽՆԻԿԱՅԻ ԵՎ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l.avetisyan@polytechnic.am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ԳԻՏԱԿԱՆ ՄԱՍԻ ԿԱՐԻՔՆԵՐԻ ՀԱՄԱՐ ՀԱՊՀ-ԷԱԱՊՁԲ-26/30 ԾԱԾԿԱԳՐՈՎ ՀԱՄԱԿԱՐԳՉԱՅԻՆ ՏԵԽՆԻԿԱՅԻ ԵՎ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ԳԻՏԱԿԱՆ ՄԱՍԻ ԿԱՐԻՔՆԵՐԻ ՀԱՄԱՐ ՀԱՄԱԿԱՐԳՉԱՅԻՆ ՏԵԽՆԻԿԱՅԻ ԵՎ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100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