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ԱՐԵՆԻՀ-ԷԱՃԱՊՁԲ-21/26</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природного газа в соответствии с Постановлением Правительства Республики Армения № 1101-Н от 28.08.2008 о строительстве и эксплуатации газозаправочных станций. Основными компонентами являются смесь пропана и бутана. 1) Состав сжиженного газа в баллоне должен соответствовать следующим требованиям: а) плотность водяного пара в сжиженном газе не более 32 мг/м³; б) содержание диоксида серы и других растворимых сульфидов не более 23 мг/м³; в) содержание кислорода не более 1% (по объему); г) содержание диоксида углерода не более 4% (по объему); д) содержание водорода не более 0,1% (по объему). Безопасность обеспечивается Законом Республики Армения от 16.06.2005 «Технический регламент по топливу для двигателей внутреннего сгорания», утвержденным Постановлением № 894. Основной компонент соответствует действующим в Республике Армения техническим регламентам ГОСТ 27577-2000. Обязательным условием является расположение заправочных станций на расстоянии не более 20 км от муниципалитета Арени. Поставка должна осуществляться по требованию, а оплата — по выставленному счету.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Поселение Арени, 15-я улица, тупик 2-го этажа,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21-й календарный день с момента вступления договора в силу, согласно заказам, оформленным покупателем, если продавец не согласен на более короткий срок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