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2026.07.29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ՀՀԿԳՄՍՆԷԱՃԱՊՁԲ-26/141</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Министерство образования, науки, культуры и спорта РА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В. Саргсяна 3, Дом правительства 2, Ереван</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КОНДИЦИОНЕРЫ</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12:30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12:30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Լիանա Խառատյան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liana.kharatyan@escs.am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010-599-699 (ներքին՝ 556)</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Министерство образования, науки, культуры и спорта РА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ՀՀԿԳՄՍՆԷԱՃԱՊՁԲ-26/141</w:t>
      </w:r>
      <w:r>
        <w:rPr>
          <w:rFonts w:ascii="Calibri" w:hAnsi="Calibri" w:cstheme="minorHAnsi"/>
          <w:i/>
        </w:rPr>
        <w:br/>
      </w:r>
      <w:r>
        <w:rPr>
          <w:rFonts w:ascii="Calibri" w:hAnsi="Calibri" w:cstheme="minorHAnsi"/>
          <w:szCs w:val="20"/>
          <w:lang w:val="af-ZA"/>
        </w:rPr>
        <w:t>2026.07.29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Министерство образования, науки, культуры и спорта РА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Министерство образования, науки, культуры и спорта РА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КОНДИЦИОНЕРЫ</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КОНДИЦИОНЕРЫ</w:t>
      </w:r>
      <w:r>
        <w:rPr>
          <w:rFonts w:ascii="Calibri" w:hAnsi="Calibri" w:cstheme="minorHAnsi"/>
          <w:b/>
          <w:lang w:val="ru-RU"/>
        </w:rPr>
        <w:t xml:space="preserve">ДЛЯ НУЖД  </w:t>
      </w:r>
      <w:r>
        <w:rPr>
          <w:rFonts w:ascii="Calibri" w:hAnsi="Calibri" w:cstheme="minorHAnsi"/>
          <w:b/>
          <w:sz w:val="24"/>
          <w:szCs w:val="24"/>
          <w:lang w:val="af-ZA"/>
        </w:rPr>
        <w:t>Министерство образования, науки, культуры и спорта РА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ՀՀԿԳՄՍՆԷԱՃԱՊՁԲ-26/141</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liana.kharatyan@escs.am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КОНДИЦИОНЕРЫ</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12:30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366.54</w:t>
      </w:r>
      <w:r>
        <w:rPr>
          <w:rFonts w:ascii="Calibri" w:hAnsi="Calibri" w:cstheme="minorHAnsi"/>
          <w:szCs w:val="22"/>
        </w:rPr>
        <w:t xml:space="preserve"> драмом, российский рубль </w:t>
      </w:r>
      <w:r>
        <w:rPr>
          <w:rFonts w:ascii="Calibri" w:hAnsi="Calibri" w:cstheme="minorHAnsi"/>
          <w:lang w:val="af-ZA"/>
        </w:rPr>
        <w:t>4.661</w:t>
      </w:r>
      <w:r>
        <w:rPr>
          <w:rFonts w:ascii="Calibri" w:hAnsi="Calibri" w:cstheme="minorHAnsi"/>
          <w:szCs w:val="22"/>
        </w:rPr>
        <w:t xml:space="preserve"> драмом, евро </w:t>
      </w:r>
      <w:r>
        <w:rPr>
          <w:rFonts w:ascii="Calibri" w:hAnsi="Calibri" w:cstheme="minorHAnsi"/>
          <w:lang w:val="af-ZA"/>
        </w:rPr>
        <w:t>416.39</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2026.08.11. 12:30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Министерство образования, науки, культуры и спорта РА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"ՀՀԿԳՄՍՆԷԱՃԱՊՁԲ-26/141"</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Министерство образования, науки, культуры и спорта РА*(далее — Заказчик) процедуре закупок под кодом ՀՀԿԳՄՍՆԷԱՃԱՊՁԲ-26/141*.</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образования, науки, культуры и спорта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"ՀՀԿԳՄՍՆԷԱՃԱՊՁԲ-26/141"</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Министерство образования, науки, культуры и спорта РА*(далее — Заказчик) процедуре закупок под кодом ՀՀԿԳՄՍՆԷԱՃԱՊՁԲ-26/141*.</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образования, науки, культуры и спорта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ՀՀԿԳՄՍՆԷԱՃԱՊՁԲ-26/141</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20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настенный, сплит-система, с инверторным компрессором, Площадь рабочей зоны: до 60 м2 включительно, Энергоэффективность охлаждения: не ниже A (или SEER, EER: не ниже 3.5), Рабочая температура охлаждения: от -10 до +43 градусов, Мощность в режиме охлаждения: не менее 18000 БТЕ, Тип газа: R410a или R32, Внутренний шум в среднем (Mid): не выше 50 (дБ), Функция самоочистки (Self cleaning): да, Антикоррозийное покрытие: да, ионизатор воздуха или воздушный фильтр: да, Подключение шнура соответствует стандартам РА, Источник питания: 220В-240В/50-60Гц. Товары должны быть новыми, неиспользованными. Транспортировка, разгрузка, установка и/или сборка, испытание товаров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представленного товара. Товар должен быть представлен на официальном веб-сайте его производителя или в международном веб-сайте, где должна быть четко отражена модель продукта и показатели требуемых технических характеристик.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Лернадзорский детский сад Сюникской области, Адресс: Армения, Сюникская область, село Лернадзор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30-й календарный день со дня вступления в силу Договора, за исключением случаев, когда выбранный участник соглашается поставить товар в более короткие сроки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