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ՊԵԿ-ԷԱՃԱՊՁԲ-26/5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электронном аукционе на приобретение устройств блокировки входа и выхода  для нужд КГД. Код аукциона ՊԵԿ-ԷԱՃԱՊՁԲ-26/5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Գուրգեն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gurgen_ghazaryan@taxservice.am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ՊԵԿ-ԷԱՃԱՊՁԲ-26/5</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электронном аукционе на приобретение устройств блокировки входа и выхода  для нужд КГД. Код аукциона ՊԵԿ-ԷԱՃԱՊՁԲ-26/5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электронном аукционе на приобретение устройств блокировки входа и выхода  для нужд КГД. Код аукциона ՊԵԿ-ԷԱՃԱՊՁԲ-26/5</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ՊԵԿ-ԷԱՃԱՊՁԲ-26/5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gurgen_ghazaryan@taxservice.am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электронном аукционе на приобретение устройств блокировки входа и выхода  для нужд КГД. Код аукциона ՊԵԿ-ԷԱՃԱՊՁԲ-26/5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блокировки входа и выхода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ՊԵԿ-ԷԱՃԱՊՁԲ-26/5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ՊԵԿ-ԷԱՃԱՊՁԲ-26/5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ՊԵԿ-ԷԱՃԱՊՁԲ-26/5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ՊԵԿ-ԷԱՃԱՊՁԲ-26/5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9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блокировки входа и выхода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блокировки входа и выхода
CPV` 
42961111/501
Комплект турникета должен включать: 1 турникет-трипод, 1 блок управления считывателем карт, 2 модуля считывателя карт, 1 блок питания (без функции резервного питания от аккумулятора) и 1 кнопку выхода с дистанционным управлением.
Турникет-трипод должен соответствовать следующим техническим характеристикам:
Материал корпуса: нержавеющая сталь + высококачественное черное закаленное стекло
Материал панели считывателя: закаленное стекло
Материал преграждающих штанг: нержавеющая сталь с защитным резиновым чехлом
Ширина прохода: 550 мм (длина штанги: 500 мм)
Направление прохода: двустороннее
Электропитание: 220 В / 110 В (переменный ток), 50/60 Гц
Рабочее напряжение: 24 В (постоянный ток)
Потребляемая мощность: 20 Вт
Условия эксплуатации: внутри помещения / на улице
Пропускная способность: 35 человек в минуту
Светодиодная индикация: синяя светодиодная полоса
Аварийный режим: автоматическое опускание штанги
Интерфейсы связи: «сухой контакт», релейный сигнал, RS485
Контроллер системы контроля доступа должен соответствовать следующим техническим характеристикам:
    Совместимость с дверями/турникетами
    Емкость памяти карт: 30 000
    Емкость журнала событий: 100 000
    Количество подключаемых считывателей: 4
    Количество реле: 2
    Тип подключения: TCP/IP
    Стандартные функции: Запрет повторного прохода (Anti-passback)
    Электропитание: 12 В пост. тока
Считыватель карт должен соответствовать следующим техническим характеристикам:
    Частота считывания: 125 кГц
    Дальность считывания: до 10 см
    Время считывания: ≤300 мс
    Светодиодный индикатор: 2 цвета (красный и зеленый)
    Звуковой сигнал: Есть
    Степень защиты корпуса: IP65
    Электропитание: 6–14 В пост. тока / макс. 70 мА
Блок питания (12 В, 5 А) — без функции резервного питания от аккумулятора — должен соответствовать следующим техническим характеристикам:
 Входное напряжение: 110/220 В перем. тока ± 15%
 Выходное напряжение: 12 В пост. тока, 5 А
 Выходная мощность: 120 Вт
Кнопка выхода с дистанционным управлением должна соответствовать следующим техническим характеристикам:
 Приемник: 12 В, контакты NO/NC/COM (совместим с выходом контроллера доступа или выходом блока питания с двумя реле)
 Дальность действия пульта: 10–30 метров
 Частота: 433 МГц
Поставщик обязан:
выполнить установку устройств по адресу, указанному Заказчиком;
обеспечить бесперебойную интеграцию новых устройств с имеющимся оборудованием;
выполнить установку и интеграцию устройств с существующим программным обеспечением;
выполнить установку и интеграцию устройств без внедрения нового программного обеспечения;
обеспечить бесперебойную передачу данных между новыми и имеющимися устройствами, а также их синхронную работу с существующим программным обеспечением;
предоставить гарантию на устройства сроком не менее одного года.
Поставщик обязан покрыть любые расходы, связанные с изменениями и непредвиденными дополнительными затратами, возникающими в процессе интеграции устройств с существующим программным обеспечением.
Инные условя. В Комитете государственных доходов для контроля входа и выхода используется система AMG ATTENDANCE SYSTEM.
Товары должны быть новыми, не бывшими в употреблении и находиться в упаковке.
Транспортировка и разгрузка товаров осуществляются Поставщиком за свой счет и средства. 
Процесс закупок организован в соответствии с частью 6 статьи 15 Закона Республики Армения «О закупках».
В приглашении участник должен предявить наименование бренда, товарного знака и наименование производителя поставляемого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Андраника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 при наличии соответствующих финансовых ресурсов и заключении сторонами соответствующего соглашения — в срок, не превышающий 40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