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Мартуни Гегаркуникская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Мартуни Гегаркуникская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Педали стула должны быть из железа и окрашены порошковой краской высшего качества темного цвета.:
Спинка и сиденье должны быть изготовлены из фанеры толщиной 10 мм, покрыты губкой толщиной не менее 10 мм и плотностью 25 кг / м3 и облицованы толстой качественной прочной тканью, подходящей для мебели:
Опоры для рук должны быть деревянными, а если они не деревянные, то должны быть окрашены порошковой краской высшего качества и наклеены губкой толщиной не менее 10 мм и плотностью 15 кг / м3, а также облицованы толстой, качественной и прочной тканью:
Ножки должны быть прикреплены снизу к торцам краев участка, соприкасающегося с полом, пластиковыми заглушками темного цвета с толщиной стенок под ними не менее 8 мм:
Реализовывать соединения с помощью гарантированных и скрытых триггеров:
Вместе со стульями должны быть все детали для легкого и прочного крепления на полу. колпачки по чертежу. цвет согласовать с заказчиком. гарантийный срок: не менее 365 календарных дней с момента сдачи:
Обязательные условия: товары должны быть новыми, неиспользованными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Мартуни Гегаркуникской области РА поселок Н. Геташен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требованиями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