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школьной мебели для 3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Согомонян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arsen.soghomonyan@escs.am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ՀՀԿԳՄՍՆԷԱՃԱՊՁԲ-26/144</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школьной мебели для 3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школьной мебели для 3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arsen.soghomonyan@escs.am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школьной мебели для 3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банкетного зала, имущества кабинета директора, имущества приемной, имущества бухгалтера,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имущество предмета «Технология», которые должны соответствовать техническому заданию-1, представленному в приложении.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имущество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задание-к 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бухгалтера, имущества учительской, имущества библиотеки, имущества предмета «шахматы», имущества дошкольного учреждения,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техническому заданию-3, представленному в приложении. возможное допустимое отклонение в размерах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средняя школа села Айгабац, Адресс: Республика Армения, Ширакская область, село Айгабац, 8-я улица, здание 16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основная школа № 22 г. Ванадзор, Адресс: Республика Армения, Лорийская область, г. Ванадзор, ул. Банак, здание 29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основная школа села Сипаник, Адресс: Республика Армения, Араратская область, село Сипаник, ул. Гюмри,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