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ԿԴՄՀՀ-ԷԱՃԱՊՁԲ-26/34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մարզահամերգային համալիր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Ծիծեռնակաբերդի զբոսայգի1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 Դեմիրճյանի անվան մարզահամերգային համալիր» ՓԲԸ-ի կարիքների համար դիզելային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Բոյաջյան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055-805561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sccgnumner@gmail.com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մարզահամերգային համալիր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ԿԴՄՀՀ-ԷԱՃԱՊՁԲ-26/34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մարզահամերգային համալիր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մարզահամերգային համալիր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 Դեմիրճյանի անվան մարզահամերգային համալիր» ՓԲԸ-ի կարիքների համար դիզելային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մարզահամերգային համալիր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 Դեմիրճյանի անվան մարզահամերգային համալիր» ՓԲԸ-ի կարիքների համար դիզելային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ԿԴՄՀՀ-ԷԱՃԱՊՁԲ-26/34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sccgnumner@gmail.com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 Դեմիրճյանի անվան մարզահամերգային համալիր» ՓԲԸ-ի կարիքների համար դիզելային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մարզահամերգային համալիր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ԿԴՄՀՀ-ԷԱՃԱՊՁԲ-26/34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ԿԴՄՀՀ-ԷԱՃԱՊՁԲ-26/34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«ԿԴՄՀՀ-ԷԱՃԱՊՁԲ-26/34»*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մարզահամերգային համալիր ՓԲԸ*  (այսուհետ` Պատվիրատու) կողմից կազմակերպված` ԿԴՄՀՀ-ԷԱՃԱՊՁԲ-26/34*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մարզահամերգային համալիր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- 00144572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- 1570022467400100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«ԿԴՄՀՀ-ԷԱՃԱՊՁԲ-26/34»*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մարզահամերգային համալիր ՓԲԸ*  (այսուհետ` Պատվիրատու) կողմից կազմակերպված` ԿԴՄՀՀ-ԷԱՃԱՊՁԲ-26/34*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մարզահամերգային համալիր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- 00144572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- 1570022467400100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Euro-5 դասի դիզելային վառելիքի ձեռքբերման համար
(500 կՎտ հզորությամբ դիզելային գեներատորի շահագործման նպատակով)
1. Վառելիքի տեսակը
Դիզելային վառելիք՝ Euro-5 էկոլոգիական դասին համապատասխան, նախատեսված դիզելային շարժիչների շահագործման համար։
2. Կիրառման նպատակը
Վառելիքը նախատեսված է 500 կՎտ հզորությամբ դիզելային գեներատորի անվտանգ, անխափան և արդյունավետ շահագործումն ապահովելու համար։
3. Ստանդարտներ և նորմատիվ պահանջներ
Վառելիքը պետք է համապատասխանի՝
EN 590 ստանդարտի պահանջներին, 
Euro-5 էկոլոգիական դասին, 
ՀՀ-ում գործող տեխնիկական կանոնակարգերով սահմանված պահանջներին։ 
4. Հիմնական տեխնիկական ցուցանիշներ
Դիզելային վառելիքի հիմնական տեխնիկական ցուցանիշները պետք է համապատասխանեն հետևյալ պահանջներին՝
Ծծմբի պարունակություն՝ ոչ ավելի, քան 10 մգ/կգ, 
Ցետանային թիվ՝ ոչ պակաս, քան 51, 
Խտություն (15°C-ում)՝ ոչ ավելի, քան 845 կգ/մ³, 
Կինեմատիկ մածուցիկություն (40°C-ում)՝ 2,0–4,5 մմ²/վ, 
Ջրի և մեխանիկական խառնուրդների պարունակություն՝ EN 590 պահանջներին համապատասխան, 
Սառը ֆիլտրացիայի սահմանային ջերմաստիճան (CFPP)՝ ոչ բարձր, քան -20°C, 
Մյուս ֆիզիկաքիմիական ցուցանիշները՝ EN 590 ստանդարտի պահանջներին համապատասխան։ 
5. Որակի ապահովում
Վառելիքի յուրաքանչյուր մատակարարվող խմբաքանակ պետք է ուղեկցվի որակի հավաստագրով (որակի անձնագրով), որը հաստատում է վառելիքի համապատասխանությունը EN 590 ստանդարտի պահանջներին և Euro-5 էկոլոգիական դասին։
6. Մատակարարման և լիցքավորման պայմաններ
Վառելիքի մատակարարումն իրականացվում է Գնորդի կողմից նշված հասցեում։ 
Լիցքավորումն իրականացվում է Մատակարարի կողմից՝ համապատասխան տեխնիկական միջոցներով և անվտանգության պահանջների պահպանմամբ։ 
Վառելիքի տեղափոխումը և լիցքավորումը պետք է իրականացվեն գործող անվտանգության և բնապահպանական պահանջներին համապատասխան։ 
7. Լիցքավորման հասցե
ՀՀ, ք. Երևան, Ծիծեռնակաբերդի զբոսայգի 1։
8. Անվտանգության պահանջներ
Վառելիքի մատակարարումը, տեղափոխումը և լիցքավորումը պետք է իրականացվեն՝
հրդեհային անվտանգության պահանջների պահպանմամբ, 
շրջակա միջավայրի աղտոտումը բացառող պայմաններում, 
վառելիքի անվտանգ օգտագործման պահանջներին համապատասխան։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Ծիծեռնակաբերդի զբոսայգի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հիման վրա` ըստ Պատվիրատուի պահանջի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