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2026.07.31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ՀՀԿԳՄՍՆԷԱՃԾՁԲ-26/147</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Министерство образования, науки, культуры и спорта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В. Саргсяна 3, Дом правительства 2, Ереван</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ГРУЗОВЫМ ПЕРЕВОЗКАМ</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Լիանա Խառատյան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liana.kharatyan@escs.am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010-599-699 (ներքին՝ 456)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Министерство образования, науки, культуры и спорта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ՀՀԿԳՄՍՆԷԱՃԾՁԲ-26/147</w:t>
      </w:r>
      <w:r w:rsidRPr="005704A1">
        <w:rPr>
          <w:rFonts w:ascii="Calibri" w:hAnsi="Calibri" w:cs="Times Armenian"/>
          <w:lang w:val="ru-RU"/>
        </w:rPr>
        <w:br/>
      </w:r>
      <w:r w:rsidRPr="005704A1">
        <w:rPr>
          <w:rFonts w:ascii="Calibri" w:hAnsi="Calibri" w:cstheme="minorHAnsi"/>
          <w:lang w:val="af-ZA"/>
        </w:rPr>
        <w:t>2026.07.31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Министерство образования, науки, культуры и спорта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Министерство образования, науки, культуры и спорта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ГРУЗОВЫМ ПЕРЕВОЗКАМ</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ГРУЗОВЫМ ПЕРЕВОЗКАМ</w:t>
      </w:r>
      <w:r w:rsidR="005704A1" w:rsidRPr="005704A1">
        <w:rPr>
          <w:rFonts w:ascii="Calibri" w:hAnsi="Calibri"/>
          <w:b/>
          <w:lang w:val="ru-RU"/>
        </w:rPr>
        <w:t>ДЛЯНУЖД</w:t>
      </w:r>
      <w:r w:rsidR="00D80C43" w:rsidRPr="00D80C43">
        <w:rPr>
          <w:rFonts w:ascii="Calibri" w:hAnsi="Calibri"/>
          <w:b/>
          <w:lang w:val="hy-AM"/>
        </w:rPr>
        <w:t>Министерство образования, науки, культуры и спорта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ՀՀԿԳՄՍՆԷԱՃԾՁԲ-26/147</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liana.kharatyan@escs.am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ГРУЗОВЫМ ПЕРЕВОЗКАМ</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перевозке груза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366.63</w:t>
      </w:r>
      <w:r w:rsidRPr="005704A1">
        <w:rPr>
          <w:rFonts w:ascii="Calibri" w:hAnsi="Calibri"/>
          <w:szCs w:val="22"/>
        </w:rPr>
        <w:t xml:space="preserve"> драмом, российский рубль </w:t>
      </w:r>
      <w:r w:rsidRPr="005704A1">
        <w:rPr>
          <w:rFonts w:ascii="Calibri" w:hAnsi="Calibri"/>
          <w:lang w:val="hy-AM"/>
        </w:rPr>
        <w:t>4.572</w:t>
      </w:r>
      <w:r w:rsidRPr="005704A1">
        <w:rPr>
          <w:rFonts w:ascii="Calibri" w:hAnsi="Calibri"/>
          <w:szCs w:val="22"/>
        </w:rPr>
        <w:t xml:space="preserve">драмом, евро </w:t>
      </w:r>
      <w:r w:rsidRPr="005704A1">
        <w:rPr>
          <w:rFonts w:ascii="Calibri" w:hAnsi="Calibri"/>
          <w:lang w:val="hy-AM"/>
        </w:rPr>
        <w:t>420.67</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2026.08.12.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ՀՀԿԳՄՍՆԷԱՃԾՁԲ-26/147</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Министерство образования, науки, культуры и спорта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ՀՀԿԳՄՍՆԷԱՃԾՁԲ-26/147</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ՀՀԿԳՄՍՆԷԱՃԾՁԲ-26/147</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"ՀՀԿԳՄՍՆԷԱՃԾՁԲ-26/147"</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Министерство образования, науки, культуры и спорта РА*(далее — Заказчик) процедуре закупок под кодом ՀՀԿԳՄՍՆԷԱՃԾՁԲ-26/147*.</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"ՀՀԿԳՄՍՆԷԱՃԾՁԲ-26/147"</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ՀՀԿԳՄՍՆԷԱՃԾՁԲ-26/147*.</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ՀՀԿԳՄՍՆԷԱՃԾՁԲ-26/147</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6</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перевозке груза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предусматривает грузоперевозку учебников для государственных общеобразовательных школ Грузии с обучением на армянском языке. Груз передается Министерству образования, науки и молодежи Грузии в г. Тбилиси. Правительством Грузии груз будет официально признан гуманитарной помощью.
По результатам тендера победившая организация (далее — Продавец) осуществляет:
•	вывоз груза со склада (адрес: Республика Армения, г. Ереван, ул. Араин Берди 7/3),
•	упаковку груза надлежащим образом для транспортировки,
•	доставку по адресу отправки.
Груз, подлежащий транспортировке, составляет 9000 единиц литературы, общий вес которых составляет около 2135 кг. (вес указан без упаковки).
Перевозка может быть осуществлена любым способом (воздушным, наземным).
Таможенное и другое официальное оформление, а также соответствующие платежи осуществляются Продавцом. Министерство образования, науки, культуры и спорта Республики Армения по требованию Продавца предоставляет необходимые документы для организации доставки и таможенного оформления груза.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техническим характеристикам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20-ого календарного дня после вступления в силу договора между сторонами и до 31 октября 2026 г. за исключением тем случаев, когда отбранный участник согласен предоставить услугу в более ранние сроки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по перевозке груза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