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ՀՀԿԳՄՍՆԷԱՃԱՊՁԲ-26/145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պրոեկտորների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Սաթենիկ Շաբոյան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satenik.shaboyan@escs.am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ՀՀԿԳՄՍՆԷԱՃԱՊՁԲ-26/145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պրոեկտորների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պրոեկտորների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ՀՀԿԳՄՍՆԷԱՃԱՊՁԲ-26/145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satenik.shaboyan@escs.am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պրոեկտորների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1039244.4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կռունկաձ― պրոեկտոր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4.6065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2026.08.17.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ՀՀԿԳՄՍՆԷԱՃԱՊՁԲ-26/145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ՀՀԿԳՄՍՆԷԱՃԱՊՁԲ-26/145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«ՀՀԿԳՄՍՆԷԱՃԱՊՁԲ-26/145»*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ՀՀԿԳՄՍՆԷԱՃԱՊՁԲ-26/145*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«ՀՀԿԳՄՍՆԷԱՃԱՊՁԲ-26/145»*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ՀՀԿԳՄՍՆԷԱՃԱՊՁԲ-26/145*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կռունկաձ― պրոեկտոր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 
Պայծառություն՝ ոչ պակաս, քան 4500 ANSI lm։
Կոնտրաստ՝ ոչ պակաս, քան 12,500:1։
Ներկառուցված բարձրախոս՝ առկա։
Պատկերի չափ՝ 30–300 դյույմ (անկյունագիծ)։
Ինտերֆեյսներ՝ D-Sub (VGA), HDMI ×2, Ethernet (RJ-45), USB պորտ, RS-232, 3.5 մմ ստերեո Audio Mini Jack։
Տեսանյութերի համատեղելիություն՝ PAL, SECAM, NTSC։
Ցուցադրվող գույների քանակ՝ ոչ պակաս, քան 1.07 միլիարդ։
Բնական (Native) կետայնություն՝ 1024 × 768 (XGA)։
Աջակցվող մուտքային թույլտվություններ՝ մինչև 1920 × 1080 (Full HD)։
Նետման հեռավորություն՝ 1.18–13.17 մ։
Աղմուկի մակարդակ՝ ոչ ավելի, քան 28 դԲ (Eco ռեժիմում)։
Լամպի ծառայության ժամկետ՝ մինչև 10000 ժամ։
Չափսեր՝ ոչ ավելի, քան 115 × 309 × 294 մմ։
Քաշ՝ ոչ ավելի, քան 2.7 կգ։
Ապրանքը պետք է լինի նոր, չօգտագործված, 
գործարանային փաթեթավորմամբ: 
Երաշխիքային ժամկետ՝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Երևան,Վ, Սարգսյան3, ՀՀ ԿԳՄՍՆ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23.10.2026թ, բայց ոչ շուտ,քան   Պայմանագիրն ուժի մեջ մտնելու օրվանից սկսած 20-րդ օրացուցային օրը, բացառությամբ այն դեպքի, երբ ընտրված մասնակիցը համաձայնում է ապարանքը մատակարարել նախատեսված ժամկետից շուտ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կռունկաձ― պրոեկտոր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