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проекторы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проекторы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проекторы</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проекторы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Яркость — не менее 4500 ANSI лм.
Контрастность — не менее 12 500:1.
Встроенный динамик — имеется.
Размер проецируемого изображения — 30–300 дюймов (по диагонали).
Интерфейсы — D-Sub (VGA), HDMI ×2, Ethernet (RJ-45), USB-порт, RS-232, стерео аудиоразъем Mini Jack 3,5 мм.
Совместимость с видеосистемами — PAL, SECAM, NTSC.
Количество отображаемых цветов — не менее 1,07 млрд.
Собственное (Native) разрешение — 1024 × 768 (XGA).
Поддерживаемое входное разрешение — до 1920 × 1080 (Full HD).
Проекционное расстояние — 1,18–13,17 м.
Уровень шума — не более 28 дБ (в режиме Eco).
Срок службы лампы — до 10 000 часов.
Габаритные размеры — не более 115 × 309 × 294 мм.
Масса — не более 2,7 кг.
Товар должен быть новым, не бывшим в эксплуатации, в заводской упаковке.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РА,г. Ереван, В.Саргсян 3. Министерство образования, науки, культуры и спорта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23.10.2026г., но не ранее 20-го календарного дня с даты вступления Договора в силу, за исключением случая, когда выбранный участник соглашается сдать здание ранее запланированного срока.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