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8 դպրոցների համակարգչային և 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8 դպրոցների համակարգչային և 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8 դպրոցների համակարգչային և 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8 դպրոցների համակարգչային և 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DLP, 3D-ի հնարավորություն` այո, Ֆորմատ՝ 16:9, 16:10, 4:3 հնարավորություններ, Կետայնություն՝ առնվազն WXGA (1280 x 800), Առավելագույն կետայնություն՝ առնվազն 1920x1080 պիքս․ ներառյալ, Գույների քանակ՝ մինչև 1.06 մլրդ ներառյալ, Լուսավորություն՝ առնվազն 4000 Lm, Կոնտրաստ՝ առնվազն 20000:1, Աղմուկի մակարդակ՝ առավելագույնը 32 dB, Պատկերի կարգավորումներ՝ Խոշորացում առնվազն 1.1x, Սեղանաձև պրոյեկցիայի ուղղահայաց կարգավորում ±40° ներառյալ, Նախատեսված առավելագույն հեռավորությունը էկրանից՝ 8 մ ներառյալ, Նվազագույն հեռավորությունը էկրանից՝ 1 մ ներառյալ, Նախատեսված էկրանի առավելագույն անկյունագիծ՝ առնվազն 700 սմ, Լամպի պիտանելիություն՝ առնվազն 6000 ժ ստանդարտ ռեժիմոմ, Ինտերֆեյս՝ HDMI մուտք, RS 232 մուտք, 3.5 մմ աուդիո ելք/մուտք, USB, VGA, էլեկտրասնուցում էներգիայի սպառում՝ առավելագույնը 320 Վտ: Առաստաղին ամրացնելու հնարավորություն՝ այո։ Ներառված պարագաներ - Պրոյեկտորի կախիչ առաստաղային՝ մեկ հատ տրամադրվում է սարքի հետ, հեռակառավարման վահանակ իր մարտկոցներով, Integrated speaker՝ առնվազն 5 վտ, HDMI cable առնվազն 5մ, միացման լարը՝ ՀՀ ստանդարտներին համապատասխան, հոսանքի աղբյուր 220V-240V/ 50-60Hz (Power cord with schuko plug)։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