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ՀԱԱՀ-ԷԱՃԱՊՁԲ-26/95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ՀԱԱՀ-ԷԱՃԱՊՁԲ-26/95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ՀԱԱՀ-ԷԱՃԱՊՁԲ-26/95</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ՀԱԱՀ-ԷԱՃԱՊՁԲ-26/95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ՀԱԱՀ-ԷԱՃԱՊՁԲ-26/95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ՀԱԱՀ-ԷԱՃԱՊՁԲ-26/95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ՀԱԱՀ-ԷԱՃԱՊՁԲ-26/95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Цилиндрический редуктор с двумя выходами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Цилиндрический редуктор, одновыходной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4.5639</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"ՀԱԱՀ-ԷԱՃԱՊՁԲ-26/95"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"ՀԱԱՀ-ԷԱՃԱՊՁԲ-26/95"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ՀԱԱՀ-ԷԱՃԱՊՁԲ-26/95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Цилиндрический редуктор с двумя выходами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увеличения крутящего момента от ВОМ трактора, для использования на сельскохозяйственной технике.
Внешний корпус редуктора изготовлен из алюминиевого сплава, входной вал — из закаленной стали.
Должны быть отверстия для крепления и установки.
Тип: цилиндрический, одноступенчатый, двухвыходной, предназначен для подъема входных винтов.
Передаточное отношение не менее 2,5; Максимум: 3,0
Мощность: не менее 35 кВт, что соответствует входной скорости 540 об/мин,
Многошлицевой входной вал: стандартный 1 3/8", 6 шлицов, длина: не менее 70 мм.
Многошлицевые выходные отверстия: A35x31, в соответствии со стандартом DIN 5482,
Количество выходных отверстий: два.
Максимальный вес: 16 кг,
Габаритные размеры (мм):
ВхШхГ=360х100х220.
Изделие должно быть новым, неиспользованным, в отличном техническом состоянии.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Цилиндрический редуктор, одновыходной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увеличения крутящего момента от вала отбора мощности трактора, для использования на сельскохозяйственной технике.
Внешний корпус редуктора изготовлен из железоуглеродистой стали, с возможностью прямого соединения с валом отбора мощности, с быстроразъемным соединением и предохранительным клапаном.
Должны быть отверстия для крепления и установки.
Тип: цилиндрический, одноступенчатый, одновыходной, предназначен для подъема входных валов.
Передаточное отношение: не менее 2,5; максимум 3,0.
Мощность: не менее 35 кВт, что соответствует скорости вращения входного вала 540 об/мин.
Входное отверстие с многорезьбовой резьбой: стандартный размер 1 3/8" DIN 9611, 6 витков резьбы, длина.
Выходное отверстие с многорезьбовой резьбой: B 8x32x36, в соответствии со стандартом DIN 5462.
Количество выходных отверстий: одно.
Максимальная нагрузка: 17 кг.
Габаритные размеры (мм):
ВхШхГ = 300х220х100.
Изделие должно быть новым, неиспользованным, в отличном техническом состоянии.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Цилиндрический редуктор с двумя выходами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Цилиндрический редуктор, одновыходной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