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гимнастический матрасы для 26 детских садов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ՀՀԿԳՄՍՆԷԱՃԱՊՁԲ-26/151</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гимнастический матрасы для 26 детских садов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гимнастический матрасы для 26 детских садов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гимнастический матрасы для 26 детских садов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гимнастический мат** — ширина 1000 мм, длина 2000 мм, высота 100 мм, плотность наполнителя — 25–30 кг/м³. Чехол изготовлен из качественного кожзаменителя. Наполнитель — пенополиуретан или вспененный полиэтилен, с цельным (единым) внутренним блоком. Товар должен быть новым, ранее не использованным. Гарантийный срок составляет 365 дней, исчисляемых со дня, следующего за днем приемки товара Покупателем. Недостатки, выявленные в течение гарантийного срока, должны быть устранены Поставщиком в разумный срок, установленный Покупателем (путем замены деталей), либо товар должен быть заменен новым. Допустимое отклонение размеров товара составляет ±3 %. Транспортировка, разгрузка, доставка по адресам, установка и сборка товара осуществляются Поставщиком. До поставки образцы товаров, предусмотренных данным лотом, должны быть согласованы с Заказчиком. День поставки должен быть предварительно согласован с Заказчиком (тел.: 010-599-699 (564)).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