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մսամթերքի ձեռքբերման նպատակով ՀԱԱՀ-ԷԱՃԱՊՁԲ-26/96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մսամթերքի ձեռքբերման նպատակով ՀԱԱՀ-ԷԱՃԱՊՁԲ-26/96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մսամթերքի ձեռքբերման նպատակով ՀԱԱՀ-ԷԱՃԱՊՁԲ-26/96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մսամթերքի ձեռքբերման նպատակով ՀԱԱՀ-ԷԱՃԱՊՁԲ-26/96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թարմ, սպանդանոցային ծագման, պաղեցրած, զարգացած մկաններով, պահված 0 աստիճան Ցելսիուսից մինչև 4 աստիճան Ցելսիուս ջերմաստիճանի պայմաններում` 6 ժ-ից ոչ ավելի, պաղեցրած մսի մակերեսը չպետք է լինի խոնավ, ոսկորի և մսի հարաբերակցությունը` համապատասխանաբար 30 տոկոս և 70 տոկոս: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թարմ, սպանդանոցային ծագման, պաղեցրած վիճակում, ոսկորի և մսի հարաբերակցությունը՝ համապատասխանաբար 50-50 տոկոս մսեղիք։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տոկոս: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