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ՀԱԱՀ-ԷԱՃԱՊՁԲ-26/96</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свежая, с места забоя, охлажденное, мякоть с мышцами, хранилось при условиях от 0 градусы Цельсия до +4 градусы Цельсия в течение нне более 6 часов, 1-й упиитанности. Поверхность охлажденного мяса не должна быть влажной, соотношение костей и мяса – 30 процент на 70 процент. Безопасность и маркировка: согласно “Техническому регламенту мяса и мясопродуктов”, утвержденному постановлением правительства РА № 1560-Н от 19 октября 2006 г., и ст. 8 закона РА “О безопасности пищевых продуктов”.  Остаточный срок годности: не менее 90 процент.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с места забоя, охлажденное․ Соотношение  костей и мякоти: 50-50 процент. Безопасность и маркировка: согласно утвержденному постановлением правительства РА № 1560-Н от 19 ноября 2006 года “Техническому регламенту мяса и мсясопродуктов” и  8-й статье закона РА “О безопасности пищевых продуктов”.  Остаточный срок годности: не менее 90 процент.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