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յուղերի ձեռքբերման նպատակով ԵԱ-ԷԱՃԱՊՁԲ-26/47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յուղերի ձեռքբերման նպատակով ԵԱ-ԷԱՃԱՊՁԲ-26/47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յուղերի ձեռքբերման նպատակով ԵԱ-ԷԱՃԱՊՁԲ-26/47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յուղերի ձեռքբերման նպատակով ԵԱ-ԷԱՃԱՊՁԲ-26/47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Տրանսմիսիոն յուղ 85W90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Տրանսմիսիոն յուղ 85W140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20W50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Տրանսմիսիոն յուղ 85W90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Տրանսմիսիոն յուղ 85W90 API GL-5: Կինեմատիկ մածուցիկությունը 100 աստիճան C՝ 14,5-17,50: Կինեմատիկ մածուցիկությունը 40 աստիճան C՝ 155-ից ոչ պակաս: Մածուցիկության ինդեքսը՝ ոչ պակաս 90: Բռնկման ջերմաստիճանը՝ ոչ պակաս 220 աստիճան C: Սառեցման ջերմաստիճանը՝ ոչ ավել մինուս 20 աստիճան C: Մեխանիկական խառնուրդների չափաբաժինը՝ բացակա: Ջրի պարունակությունը՝ հետքեր: Խտությունը 20 աստիճան C կգ/մ3՝ 890:  Արտադրության տարեթիվը առնվազն 2026թ.: Երաշխիքային ժամկետը՝ ոչ պակաս 4 տարի։ Ցանկալի է 20լ տարաներով, կապարակնքված արտադրողի կողմից: Պատվիրատուի մոտ հիմնավոր կասկած առաջանալու դեպքում Վաճառողը իր իսկ միջոցների հաշվին պետք է իրականացնի յուղի լաբորատոր փորձաքննություն՝ Պատվիրատուի կողմից նշված ընկերությունում ինչպես ՀՀ-ում, այնպես էլ ՀՀ սահմաններից դուրս: Ապրանքները պետք է լինեն նոր, չօգտագործված, գործարանային փաթեթավորմամբ։ Տեղափոխումն ու բեռնաթափումն իրականացնում էմատակարարը: Մատակարարը պատվիրատուին պետք է նաև ներկայացնի ապրանքն արտադրողից կամ վերջինիս ներկայացուցչից երաշխիքային նամակի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Տրանսմիսիոն յուղ 85W140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AE 85W-140 մածուցիկության և API GL-5 դասակարգման փոխանցման յուղի կիրառում։ Յուղը ձևավորում է ամուր և կայուն քսայուղային թաղանթ, որը նվազեցնում է մետաղական մակերեսների անմիջական շփումը, պաշտպանում է մաշվածությունից, քերծվածքներից, խազերի առաջացումից և եռակցման երևույթներից։ Հավելանյութերի հավասարակշռված բաղադրությունը կանխում է կոռոզիայի և ժանգի առաջացումը, նվազեցնում օքսիդացումը և երկարացնում է փոխանցման հանգույցների շահագործման ժամկետը։ Արտադրանքը համապատասխանում է SAE 85W-140 մածուցիկության դասին և API GL-5 շահագործման դասակարգմանը։ Արտադրության տարեթիվը՝ 2026 թ.-ից ոչ պակաս։ Կինեմատիկական մածուցիկությունը 100°C ջերմաստիճանում կազմում է մոտ 24–26 մմ²/վ, ինչը համապատասխանում է տվյալ դասի փոխանցման յուղերի պահանջներին։ Յուղի խտությունը 15–20°C ջերմաստիճանում կազմում է մոտ 0.89–0.90 գ/սմ³։ Յուղն ունի բարձր ջերմակայունություն․ բռնկման ջերմաստիճանը կազմում է առնվազն 187°C, իսկ փաստացի ցուցանիշը կարող է գերազանցել 200°C՝ ապահովելով անվտանգ շահագործում բարձր ջերմային ծանրաբեռնվածության պայմաններում։ Սառեցման (Pour Point) ջերմաստիճանը կազմում է մինչև −18…−21°C, ինչը հնարավորություն է տալիս ապահովել փոխանցման համակարգերի բնականոն աշխատանքը ցածր ջերմաստիճանների պայմաններում։ Ամբողջ խմբաքանակը մատակարարել նույն մակնիշի շարժիչի յուղից, և կազմակերպության կարիքից ելնելով ամբողջական քանակությամբ: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Երաշխիքային ժամկետը՝ ոչ պակաս 4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10W40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նախատեսված դիզելային շարժիչների համար։ Միջազգային ստանդարտներ՝ API CI4 և ACEA E4/E7 համապատասխան կամ համարժեք, ինչպես նաև նախատեսված Euro-II, Euro-III և EURO-IV արտանետումների պահանջներին համապատասխան: Օգտագործումը՝ նախատեսված տարվա բոլոր եղանակների համար։ 10W-40 Բյուրեղացման ջերմաստիճանը՝ ոչ ցածր -30 C-ից։ Արտադրության տարեթիվը՝ 2026 թ.-ից ոչ պակաս։ Փաթեթավորումը՝ ոչ պակաս 200 լիտր տարաներով, կապարակնքված արտադրողի կողմից։ Բռնկման ջերմաստիճանը՝ ոչ ցածր 206 C-ից։ Կինեմատիկական մածուցիկությունը՝ 100 C-ում ոչ պակաս 13.5-ից, և 40 C-ում՝ ոչ պակաս 88-ից։ Մածուցիկության ինդեքսը՝ ոչ պակաս 150-ից։ Խտությունը 15 C-ում՝ ոչ պակաս 855-ից։ Ալկալային միացությունների քանակը / (mg KOH/g) (միլիգրամ կալիումի հիդրօքսի մեկ գրամ յուղի համար)/՝ ոչ պակաս 11․2 մգ KOH/գ-ից։ Քիմիական բաղադրությունը՝ կիսասինթեթիկ։ Երաշխիքային ժամկետը՝ ոչ պակաս 4 տարի։ Արտադրող երկիր՝ Եվրոպական, Անգլիական և Ճապոնական։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շարժիչի յուղից, և կազմակերպության կարիքից ելնելով ամբողջական քանակությամբ: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20W50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նախատեսված դիզելային շարժիչների համար։ Միջազգային ստանդարտներ՝ API CI4 և ACEA E4/E7 համապատասխան կամ համարժեք, ինչպես նաև նախատեսված Euro-II, Euro-III և EURO-IV արտանետումների պահանջներին համապատասխան: Օգտագործումը՝ նախատեսված տարվա բոլոր եղանակների համար։ 20W-50 դիզելային շարժիչի յուղ, որը պատրաստված է բարձրորակ բազային յուղերից և նախատեսված է ծանր շահագործման պայմաններում աշխատող շարժիչների համար։ Արտադրության տարեթիվը՝ 2026 թ.-ից ոչ պակաս։Ապահովում է շարժիչի առավելագույն պաշտպանություն ծանրաբեռնված աշխատանքի ընթացքում։ Խտություն-առնվազն 0․880, կինմատկական մածուծիկությունը 40°C առնվազն 151, կինմատկական մածուծիկությունը 100°C առնվազն 17.8, Մածուցիկության ինդեքս առնվազն 128, Բռնկման ջերմաստիճան ոչ ավել 230C։ Բյուրեղացման ջերմաստիճանը՝ ոչ ցածր -21 C-ից։  Ալկալային միացությունների քանակը / (mg KOH/g) (միլիգրամ կալիումի հիդրօքսի մեկ գրամ յուղի համար)/՝ ոչ պակաս 10 մգ KOH/գ-ից։ Երաշխիքային ժամկետը՝ ոչ պակաս 4 տարի։ Արտադրող երկիր՝ Եվրոպական, Անգլիական և Ճապոնական։ Ապրանքի հանձնման ժամանակ ներկայացնել սերտիֆիկատ՝ արտադրող երկրի և կազմակերպության, ինչպես նաև որակի վերաբերյալ։ Ամբողջ խմբաքանակը մատակարարել նույն մակնիշի շարժիչի յուղից, և կազմակերպության կարիքից ելնելով ամբողջական քանակությամբ: Պատվիրատուի մոտ կասկած առաջանալու դեպքում, վաճառողն իր մատակարարած խմբաքանակի համար իր իսկ միջոցներով պետք է իրականացնի յուղի լաբորատոր փորձաքննություն՝ պատվիրատուի կողմից նշված ընկերությունում, որը կարող է լինել ինչպես ՀՀ-ում, այնպես էլ ՀՀ տարածքներից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1 տարի ժամկետով: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1 տարի ժամկետով: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1 տարի ժամկետով: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յուրաքանչյուր անգամ ըստ Պատվիրատուի պահանջի 20 օրացուցային օրվա ընթացքում՝ 1 տարի ժամկետով: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