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YAK-EAChAPDzB-26/77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«Центр гематологии и онкологии «Еолян»» Минздрава Армении», процедура покупки на приобретение лабораторные химические реагенты с кодом YAK-EAChAPDzB-26/77</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Арман Амбарцумян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hematology19@mail.ru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YAK-EAChAPDzB-26/77</w:t>
      </w:r>
      <w:r w:rsidRPr="00E4651F">
        <w:rPr>
          <w:rFonts w:asciiTheme="minorHAnsi" w:hAnsiTheme="minorHAnsi" w:cstheme="minorHAnsi"/>
          <w:i/>
        </w:rPr>
        <w:br/>
      </w:r>
      <w:r w:rsidR="00A419E4" w:rsidRPr="00E4651F">
        <w:rPr>
          <w:rFonts w:asciiTheme="minorHAnsi" w:hAnsiTheme="minorHAnsi" w:cstheme="minorHAnsi"/>
          <w:szCs w:val="20"/>
          <w:lang w:val="af-ZA"/>
        </w:rPr>
        <w:t>2026.08.06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«Центр гематологии и онкологии «Еолян»» Минздрава Армении», процедура покупки на приобретение лабораторные химические реагенты с кодом YAK-EAChAPDzB-26/77</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«Центр гематологии и онкологии «Еолян»» Минздрава Армении», процедура покупки на приобретение лабораторные химические реагенты с кодом YAK-EAChAPDzB-26/77</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YAK-EAChAPDzB-26/77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hematology19@mail.ru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«Центр гематологии и онкологии «Еолян»» Минздрава Армении», процедура покупки на приобретение лабораторные химические реагенты с кодом YAK-EAChAPDzB-26/77</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ABO-Rh/Reverse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Резус-фактор/К (фенотипирование)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4.5041</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YAK-EAChAPDzB-26/77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YAK-EAChAPDzB-26/77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YAK-EAChAPDzB-26/77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"YAK-EAChAPDzB-26/77"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"YAK-EAChAPDzB-26/77"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YAK-EAChAPDzB-26/77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0.1</w:t>
      </w:r>
      <w:r w:rsidRPr="00E4651F">
        <w:rPr>
          <w:rFonts w:cstheme="minorHAnsi"/>
          <w:lang w:val="hy-AM"/>
        </w:rPr>
        <w:t>(</w:t>
      </w:r>
      <w:r w:rsidRPr="00C94657">
        <w:rPr>
          <w:rFonts w:cstheme="minorHAnsi"/>
          <w:lang w:val="hy-AM"/>
        </w:rPr>
        <w:t>ноль целое одно десятичное</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0.1</w:t>
      </w:r>
      <w:r w:rsidRPr="00E4651F">
        <w:rPr>
          <w:rFonts w:cstheme="minorHAnsi"/>
          <w:color w:val="000000" w:themeColor="text1"/>
          <w:lang w:val="ru-RU"/>
        </w:rPr>
        <w:t xml:space="preserve"> (</w:t>
      </w:r>
      <w:r w:rsidRPr="00987B00">
        <w:rPr>
          <w:rFonts w:cstheme="minorHAnsi"/>
          <w:lang w:val="hy-AM"/>
        </w:rPr>
        <w:t>ноль целое одно десятичное</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ABO-Rh/Reverse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Определение антигенов системы ABO и Rh (D), а также групп крови и контрольных ожидаемых антител. Кассета на основе агглютинации с использованием стеклянных микросфер с устройством BioVue ORTO Workstation. Состав: Анти-А: смесь антимоноклональных антител (IgM, клоны MHO4 и 3D3), Анти-В: смесь моноклональных антител против В (IgM, клоны NB10.5A5 и NB1.19), Анти-В: смесь моноклональных антител против В (IgM, клоны NB10.5A5 и NB1.19), Анти-В: смесь моноклональных антител против В (IgM, клоны NB10.5A5 и NB1.19). Количество тест-кассет: 1: 400 кассет в коробке. Наличие товарного знака, международные сертификаты контроля качества, выданные производителем. На момент поставки срок годности товара должен составлять не менее половины от его обычного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Резус-фактор/К (фенотипирование)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Определение антигенов системы Rh и Kell с использованием стеклянных микросфер на рабочей станции BioVue ORTO. Состав: Анти-C. Моноклональные антитела: Анти-C человека (клон MS24), Анти-E: Моноклональные антитела человека (клон C2), Анти-c. Моноклональные антитела (клон MS42), Анти-e. Смесь моноклональных антител: Анти-e мыши (клоны MS16, MS21 и MS63), Анти-K. Моноклональные антитела (клон MS56). Контроль. Смесь для амплификации. Количество тест-кассет: 1: 400 кассет в коробке. Наличие товарного знака, международных сертификатов контроля качества, выданных производителем. Срок годности продукта должен составлять не менее половины от общего срока годности на момент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