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ԵՄ-ԷԱՃԱՊՁԲ-26/90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օդորակիչների ձեռքբերման նպատակով ԵՄ-ԷԱՃԱՊՁԲ-26/90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ԵՄ-ԷԱՃԱՊՁԲ-26/90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օդորակիչների ձեռքբերման նպատակով ԵՄ-ԷԱՃԱՊՁԲ-26/90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օդորակիչների ձեռքբերման նպատակով ԵՄ-ԷԱՃԱՊՁԲ-26/90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ԵՄ-ԷԱՃԱՊՁԲ-26/90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օդորակիչների ձեռքբերման նպատակով ԵՄ-ԷԱՃԱՊՁԲ-26/90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ԵՄ-ԷԱՃԱՊՁԲ-26/90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ԵՄ-ԷԱՃԱՊՁԲ-26/90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«ԵՄ-ԷԱՃԱՊՁԲ-26/90»*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«ԵՄ-ԷԱՃԱՊՁԲ-26/90»*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ԵՄ-ԷԱՃԱՊՁԲ-26/90*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18000 BTU, հիմնական ռեժիմները՝ տաքացում և սառեցում, հզորությունը սառեցման ռեժիմում՝ 18000 BTU, ծախսը սառեցման ռեժիմում՝ 1600 Վտ/ժ (թույլատրվող շեղումը +- 10%), ծախսը ջեռուցման ռեժիմում՝ 1500 Վտ/ժ (թույլատրվող շեղումը +- 10%), աշխատանքային մակերեսը՝ 60մ2, աշխատանքային ջերմաստիճանը մինչև (-7 C), ներքին բլոկի չափերը՝ 95x31x21 սմ (թույլատրվող շեղումը +- 10%)։ Օդորակիչները պետք է լինեն Midea, Hisense կամ Zanussi ֆիրմայի, երաշխիքը 1 տարի: Ապրանքը պետք է լինի նոր և չօգտագործված, իսկ տեղափոխումը և տեղադրումը իրականացնում է մատակարարը (անհրաժեշտության դեպքում ավտոկռունկի օգտագործմամբ):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