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ԱՄԱՀ-ԷԱՃԱՊՁԲ-26/133 ծածկագրով էլեկտրոնային աճուրդի ընթացակարգի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Անդրուշ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subvencia.2023@mail.ru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ԱՄԱՀ-ԷԱՃԱՊՁԲ-26/133 ծածկագրով էլեկտրոնային աճուրդի ընթացակարգի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ԱՄԱՀ-ԷԱՃԱՊՁԲ-26/133 ծածկագրով էլեկտրոնային աճուրդի ընթացակարգի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subvencia.2023@mail.ru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ԱՄԱՀ-ԷԱՃԱՊՁԲ-26/133 ծածկագրով էլեկտրոնային աճուրդի ընթացակարգի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 1 հատ՝ աշակերտական, կարված, ամուր, ջրակայուն գործվածքից, էկոլոգիապես մաքուր, առանց յուրահատուկ հոտի, հարմարեցված ձեռքով բռնելու (բռնակ) և ուսին գցելու համար, առնվազն 30-35 սմ լայնությամբ և 40-45 սմ բարձրությամբ: Պայուսակը դրսից պետք է ունենա առնվազն 2 դարակ՝ ամուր կայծակաճարմանդներով, իակ աջ և ձախ կողքերին բաց գրպաններ՝ շշով հեղուկ տեղադրելու համար: Պայուսակի ներսի հատվածը պետք է լինի աստառապատված, հետնամասը՝ օրթապեդիկ: Գույնը՝ սև, մոխրագույն, մանուշակագույն, կապույտ, վարդագույն կամ կանաչ (համապատասխանեցնել պատվիրատուի հետ):
  ֍Տետր 96 թերթ - 8 հատ (4 հատ տողանի, 4 հատ վանդակավոր)՝ աշակերտական, հաստ ստվարաթղթե շապիկով, նկարազարդված Հայաստանի տեսարժան վայրերի նկարներով կամ հայ անվանի մարդկանց լուսանկարներով կամ միագույն, չափսը՝ առնվազն 16x20սմ, գծված լուսանցքով, տպագրությունը օֆսեթ: 
֍Տետր 48 թերթ - 8 հատ (4 հատ տողանի, 4 հատ վանդակավոր)՝ աշակերտական, հաստ ստվարաթղթե շապիկով, նկարազարդված Հայաստանի տեսարժան վայրերի նկարներով կամ հայ անվանի մարդկանց լուսանկարներով կամ միագույն, չափսը՝ առնվազն 16x20սմ, գծված լուսանցքով, տպագրությունը օֆսեթ: 
֍Տետր 12 թերթ - 10 հատ (5 հատ տողանի, 5 հատ վանդակավոր)՝ աշակերտական, չափսը՝ առնվազն 16x20սմ, գծված լուսանցքով, տպագրությունը օֆսեթ: 
֍Գրիչ - 5 հատ՝ բարձր որակի, գնդիկավոր, 0.7մմ ծայրով, կապույտ միջուկով: 
֍Նկարչական ալբոմ – 1 հատ՝ հաստ ստվարաթղթե շապիկով, միագույն կամ նկարազարդ, չափսերը առնվազն 29սմx21սմ, թերթերի քանակը՝ 40 հատ, չափսը՝ A4, հաստ, սպիտակ:  
֍Գունավոր մատիտ – 1 տուփ՝ նկարչական, պատրաստված փայտից, վեցանկյուն կտրվածքով, 12 գույնի, փափուկ գրող, երկարությունը՝ առնվազն 18 սմ, ստվարաթղթե նկարազարդ տուփով:
 ֍Սրիչ – 1 հատ՝ սրվող շեղբը հավաքող տարրայով: 
֍Քանոն – 1 հատ՝ պլաստմասսե, գծաբաժանումներով, երկարությունը՝ առնվազն 30սմ: ֍Ռետին – 1 հատ՝ ռետինե ջնջոց նախատեսված մատիտով գրածները մաքրելու համար:
Նշված բոլոր ապրանքները պետք է լինեն նոր՝ չօգտագործված: Ապրանքների մատակարարումը և բեռնաթափումը նշված հասցե պետք կատարվի մատակարարի կողմից:  Տեխնիկական բնութագրին չհամապատասխանող ապրանքները ենթակա են ետ վերադարձման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21 օրացուցային օրվա ընթացղքում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