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ՎԱԲՏ-ԷԱՃԱՊՁԲ-27/2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ՎԱԲՏ-ԷԱՃԱՊՁԲ-27/2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ՎԱԲՏ-ԷԱՃԱՊՁԲ-27/2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ՎԱԲՏ-ԷԱՃԱՊՁԲ-27/2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2026.08.21. 10:45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ՎԱԲՏ-ԷԱՃԱՊՁԲ-27/2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ՎԱԲՏ-ԷԱՃԱՊՁԲ-27/2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ըստ ՄՄ ՏԿ 013/2011 Մաքսային միության տեխնիկական կանոնակարգի։ Մատակարարումը կտրոնային:
•	Կտրոններն ուժի մեջ պետք է լինեն մատակարարման օրվան հաջորդող առնվազն 12 ամսվա ընթացքում, պետք է պաշտպանված լինեն QR կոդերով, և դրանք պետք է սպասարկվեն ք. Երևանում՝ յուրաքանչյուր վարչական շրջանում առնվազն 2 բենզալցակայան, ՀՀ բոլոր մարզերում՝ յուրաքանչյուրում առնվազն 4 բենզալցակայան, որից առնվազն 1-ը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	Ապրանքի որակի սերտիֆիկատի առկայությունը պարտադիր է.
•	Կտրոններն ուժի մեջ պետք է լինեն մատակարարման օրվան հաջորդող առնվազն 12 ամսվա ընթացքում, պետք է պաշտպանված լինեն QR կոդերով, և դրանք պետք է սպասարկվեն ք. Երևանում՝ յուրաքանչյուր վարչական շրջանում առնվազն 2 բենզալցակայան, ՀՀ բոլոր մարզերում՝ յուրաքանչյուրում առնվազն 4 բենզալցակայան, որից առնվազն 1-ը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Անվտանգությունը, մակնշումը և փաթեթավորումը՝ ըստ Մաքսային միության հանձնաժողովի 2011 թվականի հոկտեմբերի 18-ի թիվ 826 վորոշմամբ հաստատված ՄՄ ՏԿ 013/2011 կանոնակարգի ««ավտոմոբիլային և այլ տեսակի տրանսպորտային միջոցների համար նախատեսված վառելիքին ներկայացվող պահանջների մասին»»: Մատակարարումը` կտրոնային: 
•	Կտրոններն ուժի մեջ պետք է լինեն մատակարարման օրվան հաջորդող առնվազն 12 ամսվա ընթացքում, պետք է պաշտպանված լինեն QR կոդերով, և դրանք պետք է սպասարկվեն ք. Երևանում՝ յուրաքանչյուր վարչական շրջանում առնվազն 2 բենզալցակայան, ՀՀ բոլոր մարզերում՝ յուրաքանչյուրում առնվազն 4 բենզալցակայան, որից առնվազն 1-ը մարզկենտրոններում: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