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պրոեկտորների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պրոեկտորների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պրոեկտորների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պրոեկտորների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4.4354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Պայծառություն՝ ոչ պակաս, քան 4500 ANSI lm։ Կոնտրաստ՝ ոչ պակաս, քան 12,500:1։ Ներկառուցված բարձրախոս՝ առկա։ Պատկերի չափ՝ 30–300 դյույմ (անկյունագիծ)։ Ինտերֆեյսներ՝ D-Sub (VGA) ×1, HDMI ×1, Ethernet (RJ-45) կամ ցանցային կառավարման այլ համարժեք տեխնոլոգիա ×1, USB պորտ ×1, RS-232 ×1, 3.5 մմ ստերեո Audio Mini Jack ×1։ Տեսանյութերի համատեղելիություն՝ PAL, SECAM, NTSC։ Ցուցադրվող գույների քանակ՝ ոչ պակաս, քան 1.07 միլիարդ։ Բնական (Native) կետայնություն՝ առնվազն 1024 × 768 (XGA) կամ ավելի բարձր։ Աջակցվող մուտքային թույլտվություններ՝ մինչև 1920 × 1080 (Full HD) ներառյալ։ Նվազագույն հեռավորությունը էկրանից՝ 1.13 մ կամ ցածր, Նախատեսված առավելագույն հեռավորությունը էկրանից՝ 11 մ կամ ավելի բարձր։ Աղմուկի մակարդակ՝ ոչ ավելի, քան 32 դԲ։ Լամպի ծառայության նախատեսված ժամկետ՝ առնվազն 10000 ժամ խնայող ռեժիմում։ Չափսեր՝ ոչ ավելի, քան 350 × 320 × 140 մմ։ Քաշ՝ ոչ ավելի, քան 3.5 կգ։ Ապրանքը պետք է լինի նոր, չօգտագործված, գործարանային փաթեթավորմամբ: Երաշխիքային ժամկետ՝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Երևան,Վ, Սարգսյան3, ՀՀ ԿԳՄՍՆ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23.10.2026թ, բայց ոչ շուտ,քան   Պայմանագիրն ուժի մեջ մտնելու օրվանից սկսած 20-րդ օրացուցային օրը, բացառությամբ այն դեպքի, երբ ընտրված մասնակիցը համաձայնում է ապարանքը մատակարարել նախատեսված ժամկետից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